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widowControl/>
        <w:spacing w:before="75" w:beforeAutospacing="0" w:after="75" w:afterAutospacing="0"/>
        <w:jc w:val="both"/>
        <w:rPr>
          <w:rStyle w:val="15"/>
          <w:rFonts w:ascii="宋体" w:hAnsi="宋体" w:cs="宋体"/>
          <w:color w:val="auto"/>
          <w:sz w:val="72"/>
          <w:szCs w:val="72"/>
          <w:highlight w:val="none"/>
        </w:rPr>
      </w:pPr>
    </w:p>
    <w:p>
      <w:pPr>
        <w:pStyle w:val="11"/>
        <w:widowControl/>
        <w:spacing w:before="75" w:beforeAutospacing="0" w:after="75" w:afterAutospacing="0"/>
        <w:jc w:val="center"/>
        <w:rPr>
          <w:color w:val="auto"/>
          <w:sz w:val="72"/>
          <w:szCs w:val="72"/>
          <w:highlight w:val="none"/>
        </w:rPr>
      </w:pPr>
      <w:r>
        <w:rPr>
          <w:rStyle w:val="15"/>
          <w:rFonts w:ascii="宋体" w:hAnsi="宋体" w:cs="宋体"/>
          <w:color w:val="auto"/>
          <w:sz w:val="72"/>
          <w:szCs w:val="72"/>
          <w:highlight w:val="none"/>
        </w:rPr>
        <w:t>福建省政府采购项目</w:t>
      </w:r>
    </w:p>
    <w:p>
      <w:pPr>
        <w:pStyle w:val="11"/>
        <w:widowControl/>
        <w:spacing w:before="75" w:beforeAutospacing="0" w:after="75" w:afterAutospacing="0"/>
        <w:jc w:val="center"/>
        <w:rPr>
          <w:color w:val="auto"/>
          <w:sz w:val="72"/>
          <w:szCs w:val="72"/>
          <w:highlight w:val="none"/>
        </w:rPr>
      </w:pPr>
      <w:r>
        <w:rPr>
          <w:rStyle w:val="15"/>
          <w:rFonts w:hint="eastAsia" w:ascii="宋体" w:hAnsi="宋体" w:cs="宋体"/>
          <w:color w:val="auto"/>
          <w:sz w:val="72"/>
          <w:szCs w:val="72"/>
          <w:highlight w:val="none"/>
        </w:rPr>
        <w:t>竞争性磋商文件</w:t>
      </w:r>
    </w:p>
    <w:p>
      <w:pPr>
        <w:pStyle w:val="11"/>
        <w:widowControl/>
        <w:spacing w:before="75" w:beforeAutospacing="0" w:after="75" w:afterAutospacing="0"/>
        <w:rPr>
          <w:rFonts w:hint="eastAsia"/>
          <w:color w:val="auto"/>
          <w:sz w:val="44"/>
          <w:szCs w:val="44"/>
          <w:highlight w:val="none"/>
        </w:rPr>
      </w:pPr>
    </w:p>
    <w:p>
      <w:pPr>
        <w:pStyle w:val="11"/>
        <w:widowControl/>
        <w:spacing w:before="75" w:beforeAutospacing="0" w:after="75" w:afterAutospacing="0"/>
        <w:rPr>
          <w:rFonts w:hint="eastAsia"/>
          <w:color w:val="auto"/>
          <w:sz w:val="44"/>
          <w:szCs w:val="44"/>
          <w:highlight w:val="none"/>
        </w:rPr>
      </w:pPr>
    </w:p>
    <w:p>
      <w:pPr>
        <w:pStyle w:val="11"/>
        <w:widowControl/>
        <w:spacing w:before="75" w:beforeAutospacing="0" w:after="75" w:afterAutospacing="0"/>
        <w:rPr>
          <w:rFonts w:hint="eastAsia"/>
          <w:color w:val="auto"/>
          <w:sz w:val="44"/>
          <w:szCs w:val="44"/>
          <w:highlight w:val="none"/>
        </w:rPr>
      </w:pPr>
    </w:p>
    <w:p>
      <w:pPr>
        <w:pStyle w:val="11"/>
        <w:widowControl/>
        <w:spacing w:before="75" w:beforeAutospacing="0" w:after="75" w:afterAutospacing="0"/>
        <w:rPr>
          <w:color w:val="auto"/>
          <w:highlight w:val="none"/>
        </w:rPr>
      </w:pPr>
      <w:r>
        <w:rPr>
          <w:rStyle w:val="15"/>
          <w:rFonts w:hint="eastAsia" w:ascii="宋体" w:hAnsi="宋体" w:cs="宋体"/>
          <w:color w:val="auto"/>
          <w:sz w:val="72"/>
          <w:szCs w:val="72"/>
          <w:highlight w:val="none"/>
        </w:rPr>
        <w:t> </w:t>
      </w:r>
    </w:p>
    <w:p>
      <w:pPr>
        <w:pStyle w:val="11"/>
        <w:widowControl/>
        <w:spacing w:before="75" w:beforeAutospacing="0" w:after="75" w:afterAutospacing="0"/>
        <w:ind w:firstLine="903" w:firstLineChars="300"/>
        <w:jc w:val="both"/>
        <w:rPr>
          <w:rStyle w:val="15"/>
          <w:rFonts w:hint="eastAsia" w:ascii="宋体" w:hAnsi="宋体" w:eastAsia="宋体" w:cs="宋体"/>
          <w:color w:val="auto"/>
          <w:sz w:val="30"/>
          <w:szCs w:val="30"/>
          <w:highlight w:val="none"/>
          <w:u w:val="single"/>
          <w:lang w:eastAsia="zh-CN"/>
        </w:rPr>
      </w:pPr>
      <w:r>
        <w:rPr>
          <w:rStyle w:val="15"/>
          <w:rFonts w:hint="eastAsia" w:ascii="宋体" w:hAnsi="宋体" w:cs="宋体"/>
          <w:color w:val="auto"/>
          <w:sz w:val="30"/>
          <w:szCs w:val="30"/>
          <w:highlight w:val="none"/>
        </w:rPr>
        <w:t>项目名称：</w:t>
      </w:r>
      <w:r>
        <w:rPr>
          <w:rStyle w:val="15"/>
          <w:rFonts w:hint="eastAsia" w:ascii="宋体" w:hAnsi="宋体" w:cs="宋体"/>
          <w:color w:val="auto"/>
          <w:sz w:val="30"/>
          <w:szCs w:val="30"/>
          <w:highlight w:val="none"/>
          <w:u w:val="single"/>
          <w:lang w:eastAsia="zh-CN"/>
        </w:rPr>
        <w:t>华大街道北江社区便民服务场所装修项目</w:t>
      </w:r>
    </w:p>
    <w:p>
      <w:pPr>
        <w:pStyle w:val="11"/>
        <w:widowControl/>
        <w:spacing w:before="75" w:beforeAutospacing="0" w:after="75" w:afterAutospacing="0"/>
        <w:ind w:firstLine="903" w:firstLineChars="300"/>
        <w:jc w:val="both"/>
        <w:rPr>
          <w:rStyle w:val="15"/>
          <w:rFonts w:hint="eastAsia" w:ascii="宋体" w:hAnsi="宋体" w:eastAsia="宋体" w:cs="宋体"/>
          <w:color w:val="auto"/>
          <w:sz w:val="30"/>
          <w:szCs w:val="30"/>
          <w:highlight w:val="none"/>
          <w:u w:val="single"/>
          <w:lang w:eastAsia="zh-CN"/>
        </w:rPr>
      </w:pPr>
      <w:r>
        <w:rPr>
          <w:rStyle w:val="15"/>
          <w:rFonts w:hint="eastAsia" w:ascii="宋体" w:hAnsi="宋体" w:cs="宋体"/>
          <w:color w:val="auto"/>
          <w:sz w:val="30"/>
          <w:szCs w:val="30"/>
          <w:highlight w:val="none"/>
        </w:rPr>
        <w:t>项目编号：</w:t>
      </w:r>
      <w:r>
        <w:rPr>
          <w:rStyle w:val="15"/>
          <w:rFonts w:hint="eastAsia" w:ascii="宋体" w:hAnsi="宋体" w:cs="宋体"/>
          <w:color w:val="auto"/>
          <w:sz w:val="30"/>
          <w:szCs w:val="30"/>
          <w:highlight w:val="none"/>
          <w:u w:val="single"/>
          <w:lang w:eastAsia="zh-CN"/>
        </w:rPr>
        <w:t>GFLFJ[2025]第009号</w:t>
      </w:r>
    </w:p>
    <w:p>
      <w:pPr>
        <w:pStyle w:val="11"/>
        <w:widowControl/>
        <w:spacing w:before="75" w:beforeAutospacing="0" w:after="75" w:afterAutospacing="0"/>
        <w:rPr>
          <w:color w:val="auto"/>
          <w:highlight w:val="none"/>
        </w:rPr>
      </w:pPr>
      <w:r>
        <w:rPr>
          <w:color w:val="auto"/>
          <w:highlight w:val="none"/>
        </w:rPr>
        <w:t> </w:t>
      </w:r>
    </w:p>
    <w:p>
      <w:pPr>
        <w:pStyle w:val="11"/>
        <w:widowControl/>
        <w:spacing w:before="75" w:beforeAutospacing="0" w:after="75" w:afterAutospacing="0"/>
        <w:rPr>
          <w:color w:val="auto"/>
          <w:highlight w:val="none"/>
        </w:rPr>
      </w:pPr>
      <w:r>
        <w:rPr>
          <w:color w:val="auto"/>
          <w:highlight w:val="none"/>
        </w:rPr>
        <w:t> </w:t>
      </w:r>
    </w:p>
    <w:p>
      <w:pPr>
        <w:widowControl/>
        <w:jc w:val="left"/>
        <w:rPr>
          <w:color w:val="auto"/>
          <w:highlight w:val="none"/>
        </w:rPr>
      </w:pPr>
      <w:r>
        <w:rPr>
          <w:rFonts w:ascii="宋体" w:hAnsi="宋体" w:cs="宋体"/>
          <w:color w:val="auto"/>
          <w:kern w:val="0"/>
          <w:sz w:val="24"/>
          <w:highlight w:val="none"/>
          <w:lang w:bidi="ar"/>
        </w:rPr>
        <w:t> </w:t>
      </w:r>
    </w:p>
    <w:p>
      <w:pPr>
        <w:pStyle w:val="4"/>
        <w:spacing w:before="400" w:after="400" w:line="600" w:lineRule="exact"/>
        <w:ind w:left="3301" w:leftChars="568" w:hanging="2108" w:hangingChars="700"/>
        <w:rPr>
          <w:rFonts w:hint="eastAsia" w:ascii="宋体" w:hAnsi="宋体" w:cs="宋体"/>
          <w:b/>
          <w:color w:val="auto"/>
          <w:sz w:val="30"/>
          <w:szCs w:val="30"/>
          <w:highlight w:val="none"/>
          <w:u w:val="single"/>
        </w:rPr>
      </w:pPr>
      <w:r>
        <w:rPr>
          <w:rFonts w:hint="eastAsia" w:ascii="宋体" w:hAnsi="宋体" w:cs="宋体"/>
          <w:b/>
          <w:color w:val="auto"/>
          <w:sz w:val="30"/>
          <w:szCs w:val="30"/>
          <w:highlight w:val="none"/>
        </w:rPr>
        <w:t>采   购   人：</w:t>
      </w:r>
      <w:r>
        <w:rPr>
          <w:rFonts w:hint="eastAsia" w:ascii="宋体" w:hAnsi="宋体" w:cs="宋体"/>
          <w:b/>
          <w:color w:val="auto"/>
          <w:sz w:val="30"/>
          <w:szCs w:val="30"/>
          <w:highlight w:val="none"/>
          <w:u w:val="single"/>
          <w:lang w:eastAsia="zh-CN"/>
        </w:rPr>
        <w:t>福建省福州市鼓楼区华大街道北江社区居民委员会</w:t>
      </w:r>
      <w:r>
        <w:rPr>
          <w:rFonts w:hint="eastAsia" w:ascii="宋体" w:hAnsi="宋体" w:cs="宋体"/>
          <w:b/>
          <w:color w:val="auto"/>
          <w:sz w:val="30"/>
          <w:szCs w:val="30"/>
          <w:highlight w:val="none"/>
          <w:u w:val="single"/>
        </w:rPr>
        <w:t>（盖章）</w:t>
      </w:r>
    </w:p>
    <w:p>
      <w:pPr>
        <w:pStyle w:val="4"/>
        <w:tabs>
          <w:tab w:val="left" w:pos="8400"/>
        </w:tabs>
        <w:spacing w:before="400" w:after="400" w:line="600" w:lineRule="exact"/>
        <w:ind w:firstLine="1204" w:firstLineChars="400"/>
        <w:rPr>
          <w:rFonts w:hint="eastAsia" w:ascii="宋体" w:hAnsi="宋体" w:cs="宋体"/>
          <w:b/>
          <w:color w:val="auto"/>
          <w:sz w:val="30"/>
          <w:szCs w:val="30"/>
          <w:highlight w:val="none"/>
        </w:rPr>
      </w:pPr>
      <w:r>
        <w:rPr>
          <w:rFonts w:hint="eastAsia" w:ascii="宋体" w:hAnsi="宋体" w:cs="宋体"/>
          <w:b/>
          <w:color w:val="auto"/>
          <w:sz w:val="30"/>
          <w:szCs w:val="30"/>
          <w:highlight w:val="none"/>
        </w:rPr>
        <w:t>招标代理机构：</w:t>
      </w:r>
      <w:r>
        <w:rPr>
          <w:rFonts w:hint="eastAsia" w:ascii="宋体" w:hAnsi="宋体" w:cs="宋体"/>
          <w:b/>
          <w:color w:val="auto"/>
          <w:sz w:val="30"/>
          <w:szCs w:val="30"/>
          <w:highlight w:val="none"/>
          <w:u w:val="single"/>
        </w:rPr>
        <w:t>福建广福联工程管理有限公司（盖章）</w:t>
      </w:r>
    </w:p>
    <w:p>
      <w:pPr>
        <w:spacing w:before="500" w:after="500" w:line="600" w:lineRule="exact"/>
        <w:ind w:firstLine="1080" w:firstLineChars="300"/>
        <w:jc w:val="center"/>
        <w:rPr>
          <w:rFonts w:ascii="宋体" w:hAnsi="宋体"/>
          <w:bCs/>
          <w:color w:val="auto"/>
          <w:sz w:val="36"/>
          <w:szCs w:val="36"/>
          <w:highlight w:val="none"/>
        </w:rPr>
      </w:pPr>
      <w:r>
        <w:rPr>
          <w:rFonts w:hint="eastAsia" w:hAnsi="宋体"/>
          <w:bCs/>
          <w:color w:val="auto"/>
          <w:sz w:val="36"/>
          <w:szCs w:val="36"/>
          <w:highlight w:val="none"/>
        </w:rPr>
        <w:t>202</w:t>
      </w:r>
      <w:r>
        <w:rPr>
          <w:rFonts w:hint="eastAsia" w:hAnsi="宋体"/>
          <w:bCs/>
          <w:color w:val="auto"/>
          <w:sz w:val="36"/>
          <w:szCs w:val="36"/>
          <w:highlight w:val="none"/>
          <w:lang w:val="en-US" w:eastAsia="zh-CN"/>
        </w:rPr>
        <w:t>5</w:t>
      </w:r>
      <w:r>
        <w:rPr>
          <w:rFonts w:hAnsi="宋体"/>
          <w:bCs/>
          <w:color w:val="auto"/>
          <w:sz w:val="36"/>
          <w:szCs w:val="36"/>
          <w:highlight w:val="none"/>
        </w:rPr>
        <w:t>年</w:t>
      </w:r>
      <w:r>
        <w:rPr>
          <w:rFonts w:hint="eastAsia" w:hAnsi="宋体"/>
          <w:bCs/>
          <w:color w:val="auto"/>
          <w:sz w:val="36"/>
          <w:szCs w:val="36"/>
          <w:highlight w:val="none"/>
          <w:lang w:val="en-US" w:eastAsia="zh-CN"/>
        </w:rPr>
        <w:t>0</w:t>
      </w:r>
      <w:r>
        <w:rPr>
          <w:rFonts w:hint="eastAsia"/>
          <w:bCs/>
          <w:color w:val="auto"/>
          <w:sz w:val="36"/>
          <w:szCs w:val="36"/>
          <w:highlight w:val="none"/>
          <w:lang w:val="en-US" w:eastAsia="zh-CN"/>
        </w:rPr>
        <w:t>3</w:t>
      </w:r>
      <w:r>
        <w:rPr>
          <w:rFonts w:hAnsi="宋体"/>
          <w:bCs/>
          <w:color w:val="auto"/>
          <w:sz w:val="36"/>
          <w:szCs w:val="36"/>
          <w:highlight w:val="none"/>
        </w:rPr>
        <w:t>月</w:t>
      </w:r>
    </w:p>
    <w:p>
      <w:pPr>
        <w:pStyle w:val="11"/>
        <w:widowControl/>
        <w:spacing w:before="75" w:beforeAutospacing="0" w:after="75" w:afterAutospacing="0"/>
        <w:rPr>
          <w:color w:val="auto"/>
          <w:highlight w:val="none"/>
        </w:rPr>
      </w:pPr>
      <w:r>
        <w:rPr>
          <w:color w:val="auto"/>
          <w:highlight w:val="none"/>
        </w:rPr>
        <w:t> </w:t>
      </w:r>
    </w:p>
    <w:p>
      <w:pPr>
        <w:pStyle w:val="11"/>
        <w:widowControl/>
        <w:spacing w:before="75" w:beforeAutospacing="0" w:after="75" w:afterAutospacing="0"/>
        <w:rPr>
          <w:color w:val="auto"/>
          <w:highlight w:val="none"/>
        </w:rPr>
      </w:pPr>
      <w:r>
        <w:rPr>
          <w:color w:val="auto"/>
          <w:highlight w:val="none"/>
        </w:rPr>
        <w:t> </w:t>
      </w:r>
    </w:p>
    <w:p>
      <w:pPr>
        <w:pStyle w:val="11"/>
        <w:widowControl/>
        <w:spacing w:before="165" w:beforeAutospacing="0" w:after="315" w:afterAutospacing="0" w:line="360" w:lineRule="atLeast"/>
        <w:jc w:val="center"/>
        <w:rPr>
          <w:color w:val="auto"/>
          <w:highlight w:val="none"/>
        </w:rPr>
      </w:pPr>
      <w:r>
        <w:rPr>
          <w:rFonts w:ascii="Arial" w:hAnsi="Arial" w:cs="Arial"/>
          <w:color w:val="auto"/>
          <w:sz w:val="27"/>
          <w:szCs w:val="27"/>
          <w:highlight w:val="none"/>
        </w:rPr>
        <w:t> </w:t>
      </w:r>
    </w:p>
    <w:p>
      <w:pPr>
        <w:jc w:val="center"/>
        <w:rPr>
          <w:rStyle w:val="15"/>
          <w:rFonts w:hint="eastAsia" w:ascii="宋体" w:hAnsi="宋体" w:cs="宋体"/>
          <w:color w:val="auto"/>
          <w:sz w:val="44"/>
          <w:szCs w:val="44"/>
          <w:highlight w:val="none"/>
        </w:rPr>
      </w:pPr>
      <w:r>
        <w:rPr>
          <w:rStyle w:val="15"/>
          <w:rFonts w:hint="eastAsia" w:ascii="宋体" w:hAnsi="宋体" w:cs="宋体"/>
          <w:color w:val="auto"/>
          <w:sz w:val="44"/>
          <w:szCs w:val="44"/>
          <w:highlight w:val="none"/>
        </w:rPr>
        <w:t>目    录</w:t>
      </w:r>
    </w:p>
    <w:p>
      <w:pPr>
        <w:jc w:val="center"/>
        <w:rPr>
          <w:rStyle w:val="15"/>
          <w:rFonts w:hint="eastAsia" w:ascii="宋体" w:hAnsi="宋体" w:cs="宋体"/>
          <w:color w:val="auto"/>
          <w:sz w:val="43"/>
          <w:szCs w:val="43"/>
          <w:highlight w:val="none"/>
        </w:rPr>
      </w:pPr>
    </w:p>
    <w:p>
      <w:pPr>
        <w:pStyle w:val="10"/>
        <w:tabs>
          <w:tab w:val="right" w:leader="dot" w:pos="9072"/>
        </w:tabs>
        <w:rPr>
          <w:color w:val="auto"/>
          <w:sz w:val="28"/>
          <w:szCs w:val="28"/>
          <w:highlight w:val="none"/>
        </w:rPr>
      </w:pPr>
      <w:r>
        <w:rPr>
          <w:rStyle w:val="15"/>
          <w:rFonts w:hint="eastAsia" w:ascii="宋体" w:hAnsi="宋体" w:cs="宋体"/>
          <w:color w:val="auto"/>
          <w:sz w:val="28"/>
          <w:szCs w:val="28"/>
          <w:highlight w:val="none"/>
        </w:rPr>
        <w:fldChar w:fldCharType="begin"/>
      </w:r>
      <w:r>
        <w:rPr>
          <w:rStyle w:val="15"/>
          <w:rFonts w:hint="eastAsia" w:ascii="宋体" w:hAnsi="宋体" w:cs="宋体"/>
          <w:color w:val="auto"/>
          <w:sz w:val="28"/>
          <w:szCs w:val="28"/>
          <w:highlight w:val="none"/>
        </w:rPr>
        <w:instrText xml:space="preserve">TOC \o "1-1" \h \u </w:instrText>
      </w:r>
      <w:r>
        <w:rPr>
          <w:rStyle w:val="15"/>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_Toc15593 </w:instrText>
      </w:r>
      <w:r>
        <w:rPr>
          <w:rFonts w:hint="eastAsia" w:ascii="宋体" w:hAnsi="宋体" w:cs="宋体"/>
          <w:color w:val="auto"/>
          <w:sz w:val="28"/>
          <w:szCs w:val="28"/>
          <w:highlight w:val="none"/>
        </w:rPr>
        <w:fldChar w:fldCharType="separate"/>
      </w:r>
      <w:r>
        <w:rPr>
          <w:rFonts w:hint="eastAsia"/>
          <w:color w:val="auto"/>
          <w:sz w:val="28"/>
          <w:szCs w:val="28"/>
          <w:highlight w:val="none"/>
        </w:rPr>
        <w:t>第一章  采购邀请书</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_Toc15593 </w:instrText>
      </w:r>
      <w:r>
        <w:rPr>
          <w:color w:val="auto"/>
          <w:sz w:val="28"/>
          <w:szCs w:val="28"/>
          <w:highlight w:val="none"/>
        </w:rPr>
        <w:fldChar w:fldCharType="separate"/>
      </w:r>
      <w:r>
        <w:rPr>
          <w:color w:val="auto"/>
          <w:sz w:val="28"/>
          <w:szCs w:val="28"/>
          <w:highlight w:val="none"/>
        </w:rPr>
        <w:t>3</w:t>
      </w:r>
      <w:r>
        <w:rPr>
          <w:color w:val="auto"/>
          <w:sz w:val="28"/>
          <w:szCs w:val="28"/>
          <w:highlight w:val="none"/>
        </w:rPr>
        <w:fldChar w:fldCharType="end"/>
      </w:r>
      <w:r>
        <w:rPr>
          <w:rFonts w:hint="eastAsia" w:ascii="宋体" w:hAnsi="宋体" w:cs="宋体"/>
          <w:color w:val="auto"/>
          <w:sz w:val="28"/>
          <w:szCs w:val="28"/>
          <w:highlight w:val="none"/>
        </w:rPr>
        <w:fldChar w:fldCharType="end"/>
      </w:r>
    </w:p>
    <w:p>
      <w:pPr>
        <w:pStyle w:val="10"/>
        <w:tabs>
          <w:tab w:val="right" w:leader="dot" w:pos="9072"/>
        </w:tabs>
        <w:rPr>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_Toc18736 </w:instrText>
      </w:r>
      <w:r>
        <w:rPr>
          <w:rFonts w:hint="eastAsia" w:ascii="宋体" w:hAnsi="宋体" w:cs="宋体"/>
          <w:color w:val="auto"/>
          <w:sz w:val="28"/>
          <w:szCs w:val="28"/>
          <w:highlight w:val="none"/>
        </w:rPr>
        <w:fldChar w:fldCharType="separate"/>
      </w:r>
      <w:r>
        <w:rPr>
          <w:rFonts w:hint="eastAsia"/>
          <w:color w:val="auto"/>
          <w:sz w:val="28"/>
          <w:szCs w:val="28"/>
          <w:highlight w:val="none"/>
        </w:rPr>
        <w:t>第二章  竞争性磋商须知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_Toc18736 </w:instrText>
      </w:r>
      <w:r>
        <w:rPr>
          <w:color w:val="auto"/>
          <w:sz w:val="28"/>
          <w:szCs w:val="28"/>
          <w:highlight w:val="none"/>
        </w:rPr>
        <w:fldChar w:fldCharType="separate"/>
      </w:r>
      <w:r>
        <w:rPr>
          <w:color w:val="auto"/>
          <w:sz w:val="28"/>
          <w:szCs w:val="28"/>
          <w:highlight w:val="none"/>
        </w:rPr>
        <w:t>7</w:t>
      </w:r>
      <w:r>
        <w:rPr>
          <w:color w:val="auto"/>
          <w:sz w:val="28"/>
          <w:szCs w:val="28"/>
          <w:highlight w:val="none"/>
        </w:rPr>
        <w:fldChar w:fldCharType="end"/>
      </w:r>
      <w:r>
        <w:rPr>
          <w:rFonts w:hint="eastAsia" w:ascii="宋体" w:hAnsi="宋体" w:cs="宋体"/>
          <w:color w:val="auto"/>
          <w:sz w:val="28"/>
          <w:szCs w:val="28"/>
          <w:highlight w:val="none"/>
        </w:rPr>
        <w:fldChar w:fldCharType="end"/>
      </w:r>
    </w:p>
    <w:p>
      <w:pPr>
        <w:pStyle w:val="10"/>
        <w:tabs>
          <w:tab w:val="right" w:leader="dot" w:pos="9072"/>
        </w:tabs>
        <w:rPr>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_Toc13476 </w:instrText>
      </w:r>
      <w:r>
        <w:rPr>
          <w:rFonts w:hint="eastAsia" w:ascii="宋体" w:hAnsi="宋体" w:cs="宋体"/>
          <w:color w:val="auto"/>
          <w:sz w:val="28"/>
          <w:szCs w:val="28"/>
          <w:highlight w:val="none"/>
        </w:rPr>
        <w:fldChar w:fldCharType="separate"/>
      </w:r>
      <w:r>
        <w:rPr>
          <w:rFonts w:hint="eastAsia"/>
          <w:color w:val="auto"/>
          <w:sz w:val="28"/>
          <w:szCs w:val="28"/>
          <w:highlight w:val="none"/>
        </w:rPr>
        <w:t>第三章  采购内容及要求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_Toc13476 </w:instrText>
      </w:r>
      <w:r>
        <w:rPr>
          <w:color w:val="auto"/>
          <w:sz w:val="28"/>
          <w:szCs w:val="28"/>
          <w:highlight w:val="none"/>
        </w:rPr>
        <w:fldChar w:fldCharType="separate"/>
      </w:r>
      <w:r>
        <w:rPr>
          <w:color w:val="auto"/>
          <w:sz w:val="28"/>
          <w:szCs w:val="28"/>
          <w:highlight w:val="none"/>
        </w:rPr>
        <w:t>40</w:t>
      </w:r>
      <w:r>
        <w:rPr>
          <w:color w:val="auto"/>
          <w:sz w:val="28"/>
          <w:szCs w:val="28"/>
          <w:highlight w:val="none"/>
        </w:rPr>
        <w:fldChar w:fldCharType="end"/>
      </w:r>
      <w:r>
        <w:rPr>
          <w:rFonts w:hint="eastAsia" w:ascii="宋体" w:hAnsi="宋体" w:cs="宋体"/>
          <w:color w:val="auto"/>
          <w:sz w:val="28"/>
          <w:szCs w:val="28"/>
          <w:highlight w:val="none"/>
        </w:rPr>
        <w:fldChar w:fldCharType="end"/>
      </w:r>
    </w:p>
    <w:p>
      <w:pPr>
        <w:pStyle w:val="10"/>
        <w:tabs>
          <w:tab w:val="right" w:leader="dot" w:pos="9072"/>
        </w:tabs>
        <w:rPr>
          <w:rFonts w:hint="eastAsia" w:eastAsia="宋体"/>
          <w:color w:val="auto"/>
          <w:sz w:val="28"/>
          <w:szCs w:val="28"/>
          <w:highlight w:val="none"/>
          <w:lang w:val="en-US" w:eastAsia="zh-CN"/>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_Toc10211 </w:instrText>
      </w:r>
      <w:r>
        <w:rPr>
          <w:rFonts w:hint="eastAsia" w:ascii="宋体" w:hAnsi="宋体" w:cs="宋体"/>
          <w:color w:val="auto"/>
          <w:sz w:val="28"/>
          <w:szCs w:val="28"/>
          <w:highlight w:val="none"/>
        </w:rPr>
        <w:fldChar w:fldCharType="separate"/>
      </w:r>
      <w:r>
        <w:rPr>
          <w:rFonts w:hint="eastAsia"/>
          <w:color w:val="auto"/>
          <w:sz w:val="28"/>
          <w:szCs w:val="28"/>
          <w:highlight w:val="none"/>
        </w:rPr>
        <w:t>第四章  合同主要条款及格式</w:t>
      </w:r>
      <w:r>
        <w:rPr>
          <w:color w:val="auto"/>
          <w:sz w:val="28"/>
          <w:szCs w:val="28"/>
          <w:highlight w:val="none"/>
        </w:rPr>
        <w:tab/>
      </w:r>
      <w:r>
        <w:rPr>
          <w:rFonts w:hint="eastAsia"/>
          <w:color w:val="auto"/>
          <w:sz w:val="28"/>
          <w:szCs w:val="28"/>
          <w:highlight w:val="none"/>
          <w:lang w:val="en-US" w:eastAsia="zh-CN"/>
        </w:rPr>
        <w:t>4</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lang w:val="en-US" w:eastAsia="zh-CN"/>
        </w:rPr>
        <w:t>1</w:t>
      </w:r>
    </w:p>
    <w:p>
      <w:pPr>
        <w:pStyle w:val="10"/>
        <w:tabs>
          <w:tab w:val="right" w:leader="dot" w:pos="9072"/>
        </w:tabs>
        <w:rPr>
          <w:rFonts w:hint="eastAsia" w:eastAsia="宋体"/>
          <w:color w:val="auto"/>
          <w:sz w:val="28"/>
          <w:szCs w:val="28"/>
          <w:highlight w:val="none"/>
          <w:lang w:val="en-US" w:eastAsia="zh-CN"/>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HYPERLINK \l _Toc14850 </w:instrText>
      </w:r>
      <w:r>
        <w:rPr>
          <w:rFonts w:hint="eastAsia" w:ascii="宋体" w:hAnsi="宋体" w:cs="宋体"/>
          <w:color w:val="auto"/>
          <w:sz w:val="28"/>
          <w:szCs w:val="28"/>
          <w:highlight w:val="none"/>
        </w:rPr>
        <w:fldChar w:fldCharType="separate"/>
      </w:r>
      <w:r>
        <w:rPr>
          <w:rFonts w:hint="eastAsia"/>
          <w:color w:val="auto"/>
          <w:sz w:val="28"/>
          <w:szCs w:val="28"/>
          <w:highlight w:val="none"/>
        </w:rPr>
        <w:t>第五章 首次响应文件格式</w:t>
      </w:r>
      <w:r>
        <w:rPr>
          <w:color w:val="auto"/>
          <w:sz w:val="28"/>
          <w:szCs w:val="28"/>
          <w:highlight w:val="none"/>
        </w:rPr>
        <w:tab/>
      </w:r>
      <w:r>
        <w:rPr>
          <w:rFonts w:hint="eastAsia"/>
          <w:color w:val="auto"/>
          <w:sz w:val="28"/>
          <w:szCs w:val="28"/>
          <w:highlight w:val="none"/>
          <w:lang w:val="en-US" w:eastAsia="zh-CN"/>
        </w:rPr>
        <w:t>4</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lang w:val="en-US" w:eastAsia="zh-CN"/>
        </w:rPr>
        <w:t>5</w:t>
      </w:r>
    </w:p>
    <w:p>
      <w:pPr>
        <w:rPr>
          <w:rStyle w:val="15"/>
          <w:rFonts w:hint="eastAsia" w:ascii="宋体" w:hAnsi="宋体" w:cs="宋体"/>
          <w:color w:val="auto"/>
          <w:sz w:val="43"/>
          <w:szCs w:val="43"/>
          <w:highlight w:val="none"/>
        </w:rPr>
      </w:pPr>
      <w:r>
        <w:rPr>
          <w:rFonts w:hint="eastAsia" w:ascii="宋体" w:hAnsi="宋体" w:cs="宋体"/>
          <w:color w:val="auto"/>
          <w:sz w:val="28"/>
          <w:szCs w:val="28"/>
          <w:highlight w:val="none"/>
        </w:rPr>
        <w:fldChar w:fldCharType="end"/>
      </w:r>
    </w:p>
    <w:p>
      <w:pPr>
        <w:pStyle w:val="2"/>
        <w:rPr>
          <w:color w:val="auto"/>
          <w:highlight w:val="none"/>
        </w:rPr>
      </w:pPr>
      <w:bookmarkStart w:id="0" w:name="_Toc15593"/>
      <w:bookmarkStart w:id="1" w:name="_Toc31356"/>
      <w:r>
        <w:rPr>
          <w:color w:val="auto"/>
          <w:highlight w:val="none"/>
        </w:rPr>
        <w:br w:type="page"/>
      </w:r>
      <w:r>
        <w:rPr>
          <w:color w:val="auto"/>
          <w:highlight w:val="none"/>
        </w:rPr>
        <w:t>第一章  采购邀请书</w:t>
      </w:r>
      <w:bookmarkEnd w:id="0"/>
      <w:bookmarkEnd w:id="1"/>
    </w:p>
    <w:p>
      <w:pPr>
        <w:pStyle w:val="11"/>
        <w:widowControl/>
        <w:spacing w:before="75" w:beforeAutospacing="0" w:after="75" w:afterAutospacing="0"/>
        <w:jc w:val="center"/>
        <w:rPr>
          <w:color w:val="auto"/>
          <w:highlight w:val="none"/>
        </w:rPr>
      </w:pPr>
      <w:r>
        <w:rPr>
          <w:rStyle w:val="15"/>
          <w:rFonts w:hint="eastAsia" w:ascii="宋体" w:hAnsi="宋体" w:cs="宋体"/>
          <w:color w:val="auto"/>
          <w:sz w:val="36"/>
          <w:szCs w:val="36"/>
          <w:highlight w:val="none"/>
        </w:rPr>
        <w:t>竞争性磋商采购公告</w:t>
      </w:r>
    </w:p>
    <w:p>
      <w:pPr>
        <w:pStyle w:val="11"/>
        <w:widowControl/>
        <w:spacing w:before="75" w:beforeAutospacing="0" w:after="75" w:afterAutospacing="0" w:line="435" w:lineRule="atLeast"/>
        <w:ind w:firstLine="480" w:firstLineChars="200"/>
        <w:rPr>
          <w:color w:val="auto"/>
          <w:highlight w:val="none"/>
        </w:rPr>
      </w:pPr>
      <w:r>
        <w:rPr>
          <w:rFonts w:hint="eastAsia" w:ascii="宋体" w:hAnsi="宋体" w:cs="宋体"/>
          <w:color w:val="auto"/>
          <w:highlight w:val="none"/>
          <w:u w:val="single"/>
          <w:lang w:eastAsia="zh-CN"/>
        </w:rPr>
        <w:t>福建省福州市鼓楼区华大街道北江社区居民委员会</w:t>
      </w:r>
      <w:r>
        <w:rPr>
          <w:rFonts w:hint="eastAsia" w:ascii="宋体" w:hAnsi="宋体" w:cs="宋体"/>
          <w:color w:val="auto"/>
          <w:highlight w:val="none"/>
        </w:rPr>
        <w:t>已根据政府采购相关法律法规，经相应程序确定采用</w:t>
      </w:r>
      <w:r>
        <w:rPr>
          <w:rFonts w:hint="eastAsia" w:ascii="宋体" w:hAnsi="宋体" w:cs="宋体"/>
          <w:color w:val="auto"/>
          <w:highlight w:val="none"/>
          <w:u w:val="single"/>
        </w:rPr>
        <w:t>竞争性磋商</w:t>
      </w:r>
      <w:r>
        <w:rPr>
          <w:rFonts w:hint="eastAsia" w:ascii="宋体" w:hAnsi="宋体" w:cs="宋体"/>
          <w:color w:val="auto"/>
          <w:highlight w:val="none"/>
        </w:rPr>
        <w:t>方式组织</w:t>
      </w:r>
      <w:r>
        <w:rPr>
          <w:rFonts w:hint="eastAsia" w:ascii="宋体" w:hAnsi="宋体" w:cs="宋体"/>
          <w:color w:val="auto"/>
          <w:highlight w:val="none"/>
          <w:u w:val="single"/>
          <w:lang w:eastAsia="zh-CN"/>
        </w:rPr>
        <w:t>华大街道北江社区便民服务场所装修项目</w:t>
      </w:r>
      <w:r>
        <w:rPr>
          <w:rFonts w:hint="eastAsia" w:ascii="宋体" w:hAnsi="宋体" w:cs="宋体"/>
          <w:color w:val="auto"/>
          <w:highlight w:val="none"/>
        </w:rPr>
        <w:t>（以下简称：“本项目”）的政府采购活动，现欢迎国内合格的供应商前来参加。本项目由采购人委托</w:t>
      </w:r>
      <w:r>
        <w:rPr>
          <w:rFonts w:hint="eastAsia" w:ascii="宋体" w:hAnsi="宋体" w:cs="宋体"/>
          <w:color w:val="auto"/>
          <w:highlight w:val="none"/>
          <w:u w:val="single"/>
        </w:rPr>
        <w:t>福建广福联工程管理有限公司</w:t>
      </w:r>
      <w:r>
        <w:rPr>
          <w:rFonts w:hint="eastAsia" w:ascii="宋体" w:hAnsi="宋体" w:cs="宋体"/>
          <w:color w:val="auto"/>
          <w:highlight w:val="none"/>
        </w:rPr>
        <w:t>开展竞争性磋商活动。</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1.项目名称：</w:t>
      </w:r>
      <w:r>
        <w:rPr>
          <w:rFonts w:hint="eastAsia" w:ascii="宋体" w:hAnsi="宋体" w:cs="宋体"/>
          <w:color w:val="auto"/>
          <w:highlight w:val="none"/>
          <w:lang w:eastAsia="zh-CN"/>
        </w:rPr>
        <w:t>华大街道北江社区便民服务场所装修项目</w:t>
      </w:r>
      <w:r>
        <w:rPr>
          <w:rFonts w:hint="eastAsia" w:ascii="宋体" w:hAnsi="宋体" w:cs="宋体"/>
          <w:color w:val="auto"/>
          <w:highlight w:val="none"/>
        </w:rPr>
        <w:t>。</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2.项目编号：</w:t>
      </w:r>
      <w:r>
        <w:rPr>
          <w:rFonts w:hint="eastAsia" w:ascii="宋体" w:hAnsi="宋体" w:cs="宋体"/>
          <w:color w:val="auto"/>
          <w:highlight w:val="none"/>
          <w:lang w:eastAsia="zh-CN"/>
        </w:rPr>
        <w:t>GFLFJ[2025]第009号</w:t>
      </w:r>
      <w:r>
        <w:rPr>
          <w:rFonts w:hint="eastAsia" w:ascii="宋体" w:hAnsi="宋体" w:cs="宋体"/>
          <w:color w:val="auto"/>
          <w:highlight w:val="none"/>
        </w:rPr>
        <w:t>。</w:t>
      </w:r>
    </w:p>
    <w:p>
      <w:pPr>
        <w:pStyle w:val="11"/>
        <w:widowControl/>
        <w:spacing w:before="75" w:beforeAutospacing="0" w:after="75" w:afterAutospacing="0" w:line="435" w:lineRule="atLeast"/>
        <w:rPr>
          <w:rFonts w:hint="eastAsia" w:ascii="宋体" w:hAnsi="宋体" w:cs="宋体"/>
          <w:color w:val="auto"/>
          <w:highlight w:val="none"/>
        </w:rPr>
      </w:pPr>
      <w:r>
        <w:rPr>
          <w:rFonts w:hint="eastAsia" w:ascii="宋体" w:hAnsi="宋体" w:cs="宋体"/>
          <w:color w:val="auto"/>
          <w:highlight w:val="none"/>
        </w:rPr>
        <w:t>   3.采购内容及要求：</w:t>
      </w:r>
    </w:p>
    <w:p>
      <w:pPr>
        <w:pStyle w:val="11"/>
        <w:widowControl/>
        <w:spacing w:before="75" w:beforeAutospacing="0" w:after="75" w:afterAutospacing="0" w:line="435" w:lineRule="atLeas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采购包1：</w:t>
      </w:r>
    </w:p>
    <w:p>
      <w:pPr>
        <w:pStyle w:val="11"/>
        <w:widowControl/>
        <w:spacing w:before="75" w:beforeAutospacing="0" w:after="75" w:afterAutospacing="0" w:line="435" w:lineRule="atLeast"/>
        <w:ind w:firstLine="420" w:firstLineChars="200"/>
        <w:rPr>
          <w:rFonts w:hint="eastAsia"/>
          <w:color w:val="auto"/>
          <w:sz w:val="21"/>
          <w:szCs w:val="21"/>
          <w:highlight w:val="none"/>
        </w:rPr>
      </w:pPr>
      <w:r>
        <w:rPr>
          <w:rFonts w:hint="eastAsia" w:ascii="宋体" w:hAnsi="宋体" w:cs="宋体"/>
          <w:color w:val="auto"/>
          <w:sz w:val="21"/>
          <w:szCs w:val="21"/>
          <w:highlight w:val="none"/>
        </w:rPr>
        <w:t>采购包预算金额（元）:</w:t>
      </w:r>
      <w:r>
        <w:rPr>
          <w:rFonts w:hint="eastAsia"/>
          <w:color w:val="auto"/>
          <w:sz w:val="21"/>
          <w:szCs w:val="21"/>
          <w:highlight w:val="none"/>
          <w:lang w:eastAsia="zh-CN"/>
        </w:rPr>
        <w:t>498000</w:t>
      </w:r>
    </w:p>
    <w:p>
      <w:pPr>
        <w:pStyle w:val="11"/>
        <w:widowControl/>
        <w:spacing w:before="75" w:beforeAutospacing="0" w:after="75" w:afterAutospacing="0" w:line="435" w:lineRule="atLeas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采购包最高限价（元）:</w:t>
      </w:r>
      <w:r>
        <w:rPr>
          <w:rFonts w:hint="eastAsia"/>
          <w:color w:val="auto"/>
          <w:sz w:val="21"/>
          <w:szCs w:val="21"/>
          <w:highlight w:val="none"/>
          <w:lang w:eastAsia="zh-CN"/>
        </w:rPr>
        <w:t>498000</w:t>
      </w:r>
    </w:p>
    <w:p>
      <w:pPr>
        <w:pStyle w:val="11"/>
        <w:widowControl/>
        <w:spacing w:before="75" w:beforeAutospacing="0" w:after="75" w:afterAutospacing="0" w:line="435" w:lineRule="atLeast"/>
        <w:ind w:firstLine="420" w:firstLineChars="200"/>
        <w:rPr>
          <w:rFonts w:hint="default" w:eastAsia="宋体" w:cs="Times New Roman"/>
          <w:color w:val="auto"/>
          <w:sz w:val="21"/>
          <w:szCs w:val="21"/>
          <w:highlight w:val="none"/>
          <w:lang w:val="en-US" w:eastAsia="zh-CN"/>
        </w:rPr>
      </w:pPr>
      <w:r>
        <w:rPr>
          <w:rFonts w:hint="eastAsia" w:ascii="宋体" w:hAnsi="宋体" w:cs="宋体"/>
          <w:color w:val="auto"/>
          <w:sz w:val="21"/>
          <w:szCs w:val="21"/>
          <w:highlight w:val="none"/>
        </w:rPr>
        <w:t>采购包保证金金额（元）:</w:t>
      </w:r>
      <w:r>
        <w:rPr>
          <w:rFonts w:hint="eastAsia" w:eastAsia="宋体" w:cs="Times New Roman"/>
          <w:color w:val="auto"/>
          <w:sz w:val="21"/>
          <w:szCs w:val="21"/>
          <w:highlight w:val="none"/>
          <w:lang w:val="en-US" w:eastAsia="zh-CN"/>
        </w:rPr>
        <w:t>0</w:t>
      </w:r>
    </w:p>
    <w:tbl>
      <w:tblPr>
        <w:tblStyle w:val="13"/>
        <w:tblW w:w="5055"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89"/>
        <w:gridCol w:w="3337"/>
        <w:gridCol w:w="801"/>
        <w:gridCol w:w="1171"/>
        <w:gridCol w:w="921"/>
        <w:gridCol w:w="1129"/>
        <w:gridCol w:w="124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9" w:type="dxa"/>
            <w:noWrap w:val="0"/>
            <w:vAlign w:val="center"/>
          </w:tcPr>
          <w:p>
            <w:pPr>
              <w:pStyle w:val="16"/>
              <w:jc w:val="center"/>
              <w:rPr>
                <w:color w:val="auto"/>
                <w:sz w:val="21"/>
                <w:szCs w:val="21"/>
                <w:highlight w:val="none"/>
              </w:rPr>
            </w:pPr>
            <w:r>
              <w:rPr>
                <w:color w:val="auto"/>
                <w:sz w:val="21"/>
                <w:szCs w:val="21"/>
                <w:highlight w:val="none"/>
              </w:rPr>
              <w:t>序号</w:t>
            </w:r>
          </w:p>
        </w:tc>
        <w:tc>
          <w:tcPr>
            <w:tcW w:w="3338" w:type="dxa"/>
            <w:noWrap w:val="0"/>
            <w:vAlign w:val="center"/>
          </w:tcPr>
          <w:p>
            <w:pPr>
              <w:pStyle w:val="16"/>
              <w:jc w:val="center"/>
              <w:rPr>
                <w:color w:val="auto"/>
                <w:sz w:val="21"/>
                <w:szCs w:val="21"/>
                <w:highlight w:val="none"/>
              </w:rPr>
            </w:pPr>
            <w:r>
              <w:rPr>
                <w:color w:val="auto"/>
                <w:sz w:val="21"/>
                <w:szCs w:val="21"/>
                <w:highlight w:val="none"/>
              </w:rPr>
              <w:t>标的名称</w:t>
            </w:r>
          </w:p>
        </w:tc>
        <w:tc>
          <w:tcPr>
            <w:tcW w:w="801" w:type="dxa"/>
            <w:noWrap w:val="0"/>
            <w:vAlign w:val="center"/>
          </w:tcPr>
          <w:p>
            <w:pPr>
              <w:pStyle w:val="16"/>
              <w:jc w:val="center"/>
              <w:rPr>
                <w:color w:val="auto"/>
                <w:sz w:val="21"/>
                <w:szCs w:val="21"/>
                <w:highlight w:val="none"/>
              </w:rPr>
            </w:pPr>
            <w:r>
              <w:rPr>
                <w:color w:val="auto"/>
                <w:sz w:val="21"/>
                <w:szCs w:val="21"/>
                <w:highlight w:val="none"/>
              </w:rPr>
              <w:t>数量</w:t>
            </w:r>
          </w:p>
        </w:tc>
        <w:tc>
          <w:tcPr>
            <w:tcW w:w="1171" w:type="dxa"/>
            <w:noWrap w:val="0"/>
            <w:vAlign w:val="center"/>
          </w:tcPr>
          <w:p>
            <w:pPr>
              <w:pStyle w:val="16"/>
              <w:jc w:val="center"/>
              <w:rPr>
                <w:color w:val="auto"/>
                <w:sz w:val="21"/>
                <w:szCs w:val="21"/>
                <w:highlight w:val="none"/>
              </w:rPr>
            </w:pPr>
            <w:r>
              <w:rPr>
                <w:color w:val="auto"/>
                <w:sz w:val="21"/>
                <w:szCs w:val="21"/>
                <w:highlight w:val="none"/>
              </w:rPr>
              <w:t>标的金额 （元）</w:t>
            </w:r>
          </w:p>
        </w:tc>
        <w:tc>
          <w:tcPr>
            <w:tcW w:w="921" w:type="dxa"/>
            <w:noWrap w:val="0"/>
            <w:vAlign w:val="center"/>
          </w:tcPr>
          <w:p>
            <w:pPr>
              <w:pStyle w:val="16"/>
              <w:jc w:val="center"/>
              <w:rPr>
                <w:color w:val="auto"/>
                <w:sz w:val="21"/>
                <w:szCs w:val="21"/>
                <w:highlight w:val="none"/>
              </w:rPr>
            </w:pPr>
            <w:r>
              <w:rPr>
                <w:color w:val="auto"/>
                <w:sz w:val="21"/>
                <w:szCs w:val="21"/>
                <w:highlight w:val="none"/>
              </w:rPr>
              <w:t>计量单位</w:t>
            </w:r>
          </w:p>
        </w:tc>
        <w:tc>
          <w:tcPr>
            <w:tcW w:w="1129" w:type="dxa"/>
            <w:noWrap w:val="0"/>
            <w:vAlign w:val="center"/>
          </w:tcPr>
          <w:p>
            <w:pPr>
              <w:pStyle w:val="16"/>
              <w:jc w:val="center"/>
              <w:rPr>
                <w:color w:val="auto"/>
                <w:sz w:val="21"/>
                <w:szCs w:val="21"/>
                <w:highlight w:val="none"/>
              </w:rPr>
            </w:pPr>
            <w:r>
              <w:rPr>
                <w:color w:val="auto"/>
                <w:sz w:val="21"/>
                <w:szCs w:val="21"/>
                <w:highlight w:val="none"/>
              </w:rPr>
              <w:t>所属行业</w:t>
            </w:r>
          </w:p>
        </w:tc>
        <w:tc>
          <w:tcPr>
            <w:tcW w:w="1243" w:type="dxa"/>
            <w:noWrap w:val="0"/>
            <w:vAlign w:val="center"/>
          </w:tcPr>
          <w:p>
            <w:pPr>
              <w:pStyle w:val="16"/>
              <w:jc w:val="center"/>
              <w:rPr>
                <w:color w:val="auto"/>
                <w:sz w:val="21"/>
                <w:szCs w:val="21"/>
                <w:highlight w:val="none"/>
              </w:rPr>
            </w:pPr>
            <w:r>
              <w:rPr>
                <w:color w:val="auto"/>
                <w:sz w:val="21"/>
                <w:szCs w:val="21"/>
                <w:highlight w:val="none"/>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22" w:hRule="atLeast"/>
        </w:trPr>
        <w:tc>
          <w:tcPr>
            <w:tcW w:w="789" w:type="dxa"/>
            <w:noWrap w:val="0"/>
            <w:vAlign w:val="center"/>
          </w:tcPr>
          <w:p>
            <w:pPr>
              <w:pStyle w:val="16"/>
              <w:jc w:val="center"/>
              <w:rPr>
                <w:color w:val="auto"/>
                <w:sz w:val="21"/>
                <w:szCs w:val="21"/>
                <w:highlight w:val="none"/>
              </w:rPr>
            </w:pPr>
            <w:r>
              <w:rPr>
                <w:color w:val="auto"/>
                <w:sz w:val="21"/>
                <w:szCs w:val="21"/>
                <w:highlight w:val="none"/>
              </w:rPr>
              <w:t>1</w:t>
            </w:r>
          </w:p>
        </w:tc>
        <w:tc>
          <w:tcPr>
            <w:tcW w:w="3338" w:type="dxa"/>
            <w:noWrap w:val="0"/>
            <w:vAlign w:val="center"/>
          </w:tcPr>
          <w:p>
            <w:pPr>
              <w:pStyle w:val="16"/>
              <w:jc w:val="center"/>
              <w:rPr>
                <w:color w:val="auto"/>
                <w:sz w:val="21"/>
                <w:szCs w:val="21"/>
                <w:highlight w:val="none"/>
                <w:lang w:eastAsia="zh-CN"/>
              </w:rPr>
            </w:pPr>
            <w:r>
              <w:rPr>
                <w:rFonts w:hint="eastAsia"/>
                <w:color w:val="auto"/>
                <w:sz w:val="21"/>
                <w:szCs w:val="21"/>
                <w:highlight w:val="none"/>
                <w:lang w:eastAsia="zh-CN"/>
              </w:rPr>
              <w:t>华大街道北江社区便民服务场所装修项目</w:t>
            </w:r>
          </w:p>
        </w:tc>
        <w:tc>
          <w:tcPr>
            <w:tcW w:w="801" w:type="dxa"/>
            <w:noWrap w:val="0"/>
            <w:vAlign w:val="center"/>
          </w:tcPr>
          <w:p>
            <w:pPr>
              <w:pStyle w:val="16"/>
              <w:jc w:val="center"/>
              <w:rPr>
                <w:color w:val="auto"/>
                <w:sz w:val="21"/>
                <w:szCs w:val="21"/>
                <w:highlight w:val="none"/>
              </w:rPr>
            </w:pPr>
            <w:r>
              <w:rPr>
                <w:color w:val="auto"/>
                <w:sz w:val="21"/>
                <w:szCs w:val="21"/>
                <w:highlight w:val="none"/>
              </w:rPr>
              <w:t>1.00</w:t>
            </w:r>
          </w:p>
        </w:tc>
        <w:tc>
          <w:tcPr>
            <w:tcW w:w="1171" w:type="dxa"/>
            <w:noWrap w:val="0"/>
            <w:vAlign w:val="center"/>
          </w:tcPr>
          <w:p>
            <w:pPr>
              <w:pStyle w:val="16"/>
              <w:jc w:val="center"/>
              <w:rPr>
                <w:rFonts w:hint="default"/>
                <w:color w:val="auto"/>
                <w:sz w:val="21"/>
                <w:szCs w:val="21"/>
                <w:highlight w:val="none"/>
                <w:lang w:eastAsia="zh-CN"/>
              </w:rPr>
            </w:pPr>
            <w:r>
              <w:rPr>
                <w:rFonts w:hint="eastAsia"/>
                <w:color w:val="auto"/>
                <w:sz w:val="21"/>
                <w:szCs w:val="21"/>
                <w:highlight w:val="none"/>
                <w:lang w:eastAsia="zh-CN"/>
              </w:rPr>
              <w:t>498000</w:t>
            </w:r>
          </w:p>
        </w:tc>
        <w:tc>
          <w:tcPr>
            <w:tcW w:w="921" w:type="dxa"/>
            <w:noWrap w:val="0"/>
            <w:vAlign w:val="center"/>
          </w:tcPr>
          <w:p>
            <w:pPr>
              <w:pStyle w:val="16"/>
              <w:jc w:val="center"/>
              <w:rPr>
                <w:color w:val="auto"/>
                <w:sz w:val="21"/>
                <w:szCs w:val="21"/>
                <w:highlight w:val="none"/>
              </w:rPr>
            </w:pPr>
            <w:r>
              <w:rPr>
                <w:color w:val="auto"/>
                <w:sz w:val="21"/>
                <w:szCs w:val="21"/>
                <w:highlight w:val="none"/>
              </w:rPr>
              <w:t>项</w:t>
            </w:r>
          </w:p>
        </w:tc>
        <w:tc>
          <w:tcPr>
            <w:tcW w:w="1129" w:type="dxa"/>
            <w:noWrap w:val="0"/>
            <w:vAlign w:val="center"/>
          </w:tcPr>
          <w:p>
            <w:pPr>
              <w:pStyle w:val="16"/>
              <w:jc w:val="center"/>
              <w:rPr>
                <w:rFonts w:hint="eastAsia" w:eastAsia="宋体"/>
                <w:color w:val="auto"/>
                <w:sz w:val="21"/>
                <w:szCs w:val="21"/>
                <w:highlight w:val="none"/>
                <w:lang w:eastAsia="zh-CN"/>
              </w:rPr>
            </w:pPr>
            <w:r>
              <w:rPr>
                <w:rFonts w:hint="eastAsia"/>
                <w:color w:val="auto"/>
                <w:sz w:val="21"/>
                <w:szCs w:val="21"/>
                <w:highlight w:val="none"/>
                <w:lang w:eastAsia="zh-CN"/>
              </w:rPr>
              <w:t>建筑业</w:t>
            </w:r>
          </w:p>
        </w:tc>
        <w:tc>
          <w:tcPr>
            <w:tcW w:w="1243" w:type="dxa"/>
            <w:noWrap w:val="0"/>
            <w:vAlign w:val="center"/>
          </w:tcPr>
          <w:p>
            <w:pPr>
              <w:pStyle w:val="16"/>
              <w:jc w:val="center"/>
              <w:rPr>
                <w:color w:val="auto"/>
                <w:sz w:val="21"/>
                <w:szCs w:val="21"/>
                <w:highlight w:val="none"/>
              </w:rPr>
            </w:pPr>
            <w:r>
              <w:rPr>
                <w:color w:val="auto"/>
                <w:sz w:val="21"/>
                <w:szCs w:val="21"/>
                <w:highlight w:val="none"/>
              </w:rPr>
              <w:t>否</w:t>
            </w:r>
          </w:p>
        </w:tc>
      </w:tr>
    </w:tbl>
    <w:p>
      <w:pPr>
        <w:pStyle w:val="16"/>
        <w:rPr>
          <w:color w:val="auto"/>
          <w:sz w:val="21"/>
          <w:szCs w:val="21"/>
          <w:highlight w:val="none"/>
        </w:rPr>
      </w:pPr>
      <w:r>
        <w:rPr>
          <w:color w:val="auto"/>
          <w:sz w:val="21"/>
          <w:szCs w:val="21"/>
          <w:highlight w:val="none"/>
        </w:rPr>
        <w:t>采购包1：</w:t>
      </w:r>
    </w:p>
    <w:p>
      <w:pPr>
        <w:pStyle w:val="16"/>
        <w:rPr>
          <w:color w:val="auto"/>
          <w:sz w:val="21"/>
          <w:szCs w:val="21"/>
          <w:highlight w:val="none"/>
        </w:rPr>
      </w:pPr>
      <w:r>
        <w:rPr>
          <w:color w:val="auto"/>
          <w:sz w:val="21"/>
          <w:szCs w:val="21"/>
          <w:highlight w:val="none"/>
        </w:rPr>
        <w:t>（1）报价要求：</w:t>
      </w:r>
    </w:p>
    <w:tbl>
      <w:tblPr>
        <w:tblStyle w:val="13"/>
        <w:tblW w:w="5055"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92"/>
        <w:gridCol w:w="3180"/>
        <w:gridCol w:w="1056"/>
        <w:gridCol w:w="1095"/>
        <w:gridCol w:w="1209"/>
        <w:gridCol w:w="1065"/>
        <w:gridCol w:w="109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2" w:type="dxa"/>
            <w:noWrap w:val="0"/>
            <w:vAlign w:val="center"/>
          </w:tcPr>
          <w:p>
            <w:pPr>
              <w:pStyle w:val="16"/>
              <w:jc w:val="center"/>
              <w:rPr>
                <w:color w:val="auto"/>
                <w:sz w:val="21"/>
                <w:szCs w:val="21"/>
                <w:highlight w:val="none"/>
              </w:rPr>
            </w:pPr>
            <w:r>
              <w:rPr>
                <w:color w:val="auto"/>
                <w:sz w:val="21"/>
                <w:szCs w:val="21"/>
                <w:highlight w:val="none"/>
              </w:rPr>
              <w:t>序号</w:t>
            </w:r>
          </w:p>
        </w:tc>
        <w:tc>
          <w:tcPr>
            <w:tcW w:w="3180" w:type="dxa"/>
            <w:noWrap w:val="0"/>
            <w:vAlign w:val="center"/>
          </w:tcPr>
          <w:p>
            <w:pPr>
              <w:pStyle w:val="16"/>
              <w:jc w:val="center"/>
              <w:rPr>
                <w:color w:val="auto"/>
                <w:sz w:val="21"/>
                <w:szCs w:val="21"/>
                <w:highlight w:val="none"/>
              </w:rPr>
            </w:pPr>
            <w:r>
              <w:rPr>
                <w:color w:val="auto"/>
                <w:sz w:val="21"/>
                <w:szCs w:val="21"/>
                <w:highlight w:val="none"/>
              </w:rPr>
              <w:t>报价内容</w:t>
            </w:r>
          </w:p>
        </w:tc>
        <w:tc>
          <w:tcPr>
            <w:tcW w:w="1056" w:type="dxa"/>
            <w:noWrap w:val="0"/>
            <w:vAlign w:val="center"/>
          </w:tcPr>
          <w:p>
            <w:pPr>
              <w:pStyle w:val="16"/>
              <w:jc w:val="center"/>
              <w:rPr>
                <w:color w:val="auto"/>
                <w:sz w:val="21"/>
                <w:szCs w:val="21"/>
                <w:highlight w:val="none"/>
              </w:rPr>
            </w:pPr>
            <w:r>
              <w:rPr>
                <w:color w:val="auto"/>
                <w:sz w:val="21"/>
                <w:szCs w:val="21"/>
                <w:highlight w:val="none"/>
              </w:rPr>
              <w:t>计量单位</w:t>
            </w:r>
          </w:p>
        </w:tc>
        <w:tc>
          <w:tcPr>
            <w:tcW w:w="1095" w:type="dxa"/>
            <w:noWrap w:val="0"/>
            <w:vAlign w:val="center"/>
          </w:tcPr>
          <w:p>
            <w:pPr>
              <w:pStyle w:val="16"/>
              <w:jc w:val="center"/>
              <w:rPr>
                <w:color w:val="auto"/>
                <w:sz w:val="21"/>
                <w:szCs w:val="21"/>
                <w:highlight w:val="none"/>
              </w:rPr>
            </w:pPr>
            <w:r>
              <w:rPr>
                <w:color w:val="auto"/>
                <w:sz w:val="21"/>
                <w:szCs w:val="21"/>
                <w:highlight w:val="none"/>
              </w:rPr>
              <w:t>报价单位</w:t>
            </w:r>
          </w:p>
        </w:tc>
        <w:tc>
          <w:tcPr>
            <w:tcW w:w="1209" w:type="dxa"/>
            <w:noWrap w:val="0"/>
            <w:vAlign w:val="center"/>
          </w:tcPr>
          <w:p>
            <w:pPr>
              <w:pStyle w:val="16"/>
              <w:jc w:val="center"/>
              <w:rPr>
                <w:color w:val="auto"/>
                <w:sz w:val="21"/>
                <w:szCs w:val="21"/>
                <w:highlight w:val="none"/>
              </w:rPr>
            </w:pPr>
            <w:r>
              <w:rPr>
                <w:color w:val="auto"/>
                <w:sz w:val="21"/>
                <w:szCs w:val="21"/>
                <w:highlight w:val="none"/>
              </w:rPr>
              <w:t>最高限价</w:t>
            </w:r>
          </w:p>
        </w:tc>
        <w:tc>
          <w:tcPr>
            <w:tcW w:w="1065" w:type="dxa"/>
            <w:noWrap w:val="0"/>
            <w:vAlign w:val="center"/>
          </w:tcPr>
          <w:p>
            <w:pPr>
              <w:pStyle w:val="16"/>
              <w:jc w:val="center"/>
              <w:rPr>
                <w:color w:val="auto"/>
                <w:sz w:val="21"/>
                <w:szCs w:val="21"/>
                <w:highlight w:val="none"/>
              </w:rPr>
            </w:pPr>
            <w:r>
              <w:rPr>
                <w:color w:val="auto"/>
                <w:sz w:val="21"/>
                <w:szCs w:val="21"/>
                <w:highlight w:val="none"/>
              </w:rPr>
              <w:t>价款形式</w:t>
            </w:r>
          </w:p>
        </w:tc>
        <w:tc>
          <w:tcPr>
            <w:tcW w:w="1094" w:type="dxa"/>
            <w:noWrap w:val="0"/>
            <w:vAlign w:val="center"/>
          </w:tcPr>
          <w:p>
            <w:pPr>
              <w:pStyle w:val="16"/>
              <w:jc w:val="center"/>
              <w:rPr>
                <w:color w:val="auto"/>
                <w:sz w:val="21"/>
                <w:szCs w:val="21"/>
                <w:highlight w:val="none"/>
              </w:rPr>
            </w:pPr>
            <w:r>
              <w:rPr>
                <w:color w:val="auto"/>
                <w:sz w:val="21"/>
                <w:szCs w:val="21"/>
                <w:highlight w:val="none"/>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7" w:hRule="atLeast"/>
        </w:trPr>
        <w:tc>
          <w:tcPr>
            <w:tcW w:w="692" w:type="dxa"/>
            <w:noWrap w:val="0"/>
            <w:vAlign w:val="center"/>
          </w:tcPr>
          <w:p>
            <w:pPr>
              <w:pStyle w:val="16"/>
              <w:jc w:val="center"/>
              <w:rPr>
                <w:color w:val="auto"/>
                <w:sz w:val="21"/>
                <w:szCs w:val="21"/>
                <w:highlight w:val="none"/>
              </w:rPr>
            </w:pPr>
            <w:r>
              <w:rPr>
                <w:color w:val="auto"/>
                <w:sz w:val="21"/>
                <w:szCs w:val="21"/>
                <w:highlight w:val="none"/>
              </w:rPr>
              <w:t>1</w:t>
            </w:r>
          </w:p>
        </w:tc>
        <w:tc>
          <w:tcPr>
            <w:tcW w:w="3180" w:type="dxa"/>
            <w:noWrap w:val="0"/>
            <w:vAlign w:val="center"/>
          </w:tcPr>
          <w:p>
            <w:pPr>
              <w:pStyle w:val="16"/>
              <w:jc w:val="center"/>
              <w:rPr>
                <w:color w:val="auto"/>
                <w:sz w:val="21"/>
                <w:szCs w:val="21"/>
                <w:highlight w:val="none"/>
                <w:lang w:eastAsia="zh-CN"/>
              </w:rPr>
            </w:pPr>
            <w:r>
              <w:rPr>
                <w:rFonts w:hint="eastAsia"/>
                <w:color w:val="auto"/>
                <w:sz w:val="21"/>
                <w:szCs w:val="21"/>
                <w:highlight w:val="none"/>
                <w:lang w:eastAsia="zh-CN"/>
              </w:rPr>
              <w:t>华大街道北江社区便民服务场所装修项目</w:t>
            </w:r>
          </w:p>
        </w:tc>
        <w:tc>
          <w:tcPr>
            <w:tcW w:w="1056" w:type="dxa"/>
            <w:noWrap w:val="0"/>
            <w:vAlign w:val="center"/>
          </w:tcPr>
          <w:p>
            <w:pPr>
              <w:pStyle w:val="16"/>
              <w:jc w:val="center"/>
              <w:rPr>
                <w:color w:val="auto"/>
                <w:sz w:val="21"/>
                <w:szCs w:val="21"/>
                <w:highlight w:val="none"/>
              </w:rPr>
            </w:pPr>
            <w:r>
              <w:rPr>
                <w:color w:val="auto"/>
                <w:sz w:val="21"/>
                <w:szCs w:val="21"/>
                <w:highlight w:val="none"/>
              </w:rPr>
              <w:t>项</w:t>
            </w:r>
          </w:p>
        </w:tc>
        <w:tc>
          <w:tcPr>
            <w:tcW w:w="1095" w:type="dxa"/>
            <w:noWrap w:val="0"/>
            <w:vAlign w:val="center"/>
          </w:tcPr>
          <w:p>
            <w:pPr>
              <w:pStyle w:val="16"/>
              <w:jc w:val="center"/>
              <w:rPr>
                <w:color w:val="auto"/>
                <w:sz w:val="21"/>
                <w:szCs w:val="21"/>
                <w:highlight w:val="none"/>
              </w:rPr>
            </w:pPr>
            <w:r>
              <w:rPr>
                <w:color w:val="auto"/>
                <w:sz w:val="21"/>
                <w:szCs w:val="21"/>
                <w:highlight w:val="none"/>
              </w:rPr>
              <w:t>元</w:t>
            </w:r>
          </w:p>
        </w:tc>
        <w:tc>
          <w:tcPr>
            <w:tcW w:w="1209" w:type="dxa"/>
            <w:noWrap w:val="0"/>
            <w:vAlign w:val="center"/>
          </w:tcPr>
          <w:p>
            <w:pPr>
              <w:pStyle w:val="16"/>
              <w:jc w:val="center"/>
              <w:rPr>
                <w:color w:val="auto"/>
                <w:sz w:val="21"/>
                <w:szCs w:val="21"/>
                <w:highlight w:val="none"/>
              </w:rPr>
            </w:pPr>
            <w:r>
              <w:rPr>
                <w:rFonts w:hint="eastAsia"/>
                <w:color w:val="auto"/>
                <w:sz w:val="21"/>
                <w:szCs w:val="21"/>
                <w:highlight w:val="none"/>
                <w:lang w:eastAsia="zh-CN"/>
              </w:rPr>
              <w:t>498000</w:t>
            </w:r>
          </w:p>
        </w:tc>
        <w:tc>
          <w:tcPr>
            <w:tcW w:w="1065" w:type="dxa"/>
            <w:noWrap w:val="0"/>
            <w:vAlign w:val="center"/>
          </w:tcPr>
          <w:p>
            <w:pPr>
              <w:pStyle w:val="16"/>
              <w:jc w:val="center"/>
              <w:rPr>
                <w:color w:val="auto"/>
                <w:sz w:val="21"/>
                <w:szCs w:val="21"/>
                <w:highlight w:val="none"/>
              </w:rPr>
            </w:pPr>
            <w:r>
              <w:rPr>
                <w:color w:val="auto"/>
                <w:sz w:val="21"/>
                <w:szCs w:val="21"/>
                <w:highlight w:val="none"/>
              </w:rPr>
              <w:t>总价</w:t>
            </w:r>
          </w:p>
        </w:tc>
        <w:tc>
          <w:tcPr>
            <w:tcW w:w="1094" w:type="dxa"/>
            <w:noWrap w:val="0"/>
            <w:vAlign w:val="center"/>
          </w:tcPr>
          <w:p>
            <w:pPr>
              <w:pStyle w:val="16"/>
              <w:jc w:val="center"/>
              <w:rPr>
                <w:color w:val="auto"/>
                <w:sz w:val="21"/>
                <w:szCs w:val="21"/>
                <w:highlight w:val="none"/>
              </w:rPr>
            </w:pPr>
            <w:r>
              <w:rPr>
                <w:color w:val="auto"/>
                <w:sz w:val="21"/>
                <w:szCs w:val="21"/>
                <w:highlight w:val="none"/>
              </w:rPr>
              <w:t>无</w:t>
            </w:r>
          </w:p>
        </w:tc>
      </w:tr>
    </w:tbl>
    <w:p>
      <w:pPr>
        <w:pStyle w:val="11"/>
        <w:widowControl/>
        <w:spacing w:before="75" w:beforeAutospacing="0" w:after="75" w:afterAutospacing="0" w:line="435" w:lineRule="atLeast"/>
        <w:ind w:firstLine="480" w:firstLineChars="200"/>
        <w:rPr>
          <w:rFonts w:hint="eastAsia" w:ascii="宋体" w:hAnsi="宋体" w:cs="宋体"/>
          <w:color w:val="auto"/>
          <w:highlight w:val="none"/>
        </w:rPr>
      </w:pPr>
      <w:r>
        <w:rPr>
          <w:rFonts w:hint="eastAsia" w:ascii="宋体" w:hAnsi="宋体" w:cs="宋体"/>
          <w:color w:val="auto"/>
          <w:highlight w:val="none"/>
        </w:rPr>
        <w:t>4.采购项目需要落实的政府采购政策：</w:t>
      </w:r>
    </w:p>
    <w:p>
      <w:pPr>
        <w:pStyle w:val="11"/>
        <w:widowControl/>
        <w:spacing w:before="75" w:beforeAutospacing="0" w:after="75" w:afterAutospacing="0" w:line="435" w:lineRule="atLeas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进口产品：不适用本项目</w:t>
      </w:r>
    </w:p>
    <w:p>
      <w:pPr>
        <w:pStyle w:val="11"/>
        <w:widowControl/>
        <w:spacing w:before="75" w:beforeAutospacing="0" w:after="75" w:afterAutospacing="0" w:line="435" w:lineRule="atLeas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节能产品：不适用本项目</w:t>
      </w:r>
    </w:p>
    <w:p>
      <w:pPr>
        <w:pStyle w:val="11"/>
        <w:widowControl/>
        <w:spacing w:before="75" w:beforeAutospacing="0" w:after="75" w:afterAutospacing="0" w:line="435" w:lineRule="atLeas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环境标志产品：不适用本项目</w:t>
      </w:r>
    </w:p>
    <w:p>
      <w:pPr>
        <w:pStyle w:val="11"/>
        <w:widowControl/>
        <w:spacing w:before="75" w:beforeAutospacing="0" w:after="75" w:afterAutospacing="0" w:line="435" w:lineRule="atLeast"/>
        <w:ind w:firstLine="480" w:firstLineChars="200"/>
        <w:rPr>
          <w:color w:val="auto"/>
          <w:highlight w:val="none"/>
        </w:rPr>
      </w:pPr>
      <w:r>
        <w:rPr>
          <w:rFonts w:hint="eastAsia" w:ascii="宋体" w:hAnsi="宋体" w:cs="宋体"/>
          <w:color w:val="auto"/>
          <w:highlight w:val="none"/>
        </w:rPr>
        <w:t>5.供应商的资格要求：</w:t>
      </w:r>
    </w:p>
    <w:p>
      <w:pPr>
        <w:pStyle w:val="11"/>
        <w:widowControl/>
        <w:spacing w:before="75" w:beforeAutospacing="0" w:after="75" w:afterAutospacing="0" w:line="435" w:lineRule="atLeast"/>
        <w:ind w:firstLine="480" w:firstLineChars="200"/>
        <w:rPr>
          <w:color w:val="auto"/>
          <w:highlight w:val="none"/>
        </w:rPr>
      </w:pPr>
      <w:r>
        <w:rPr>
          <w:rFonts w:hint="eastAsia" w:ascii="宋体" w:hAnsi="宋体" w:cs="宋体"/>
          <w:color w:val="auto"/>
          <w:highlight w:val="none"/>
        </w:rPr>
        <w:t>5.1法定条件：符合《中华人民共和国政府采购法》第二十二条第一款规定的条件。</w:t>
      </w:r>
    </w:p>
    <w:p>
      <w:pPr>
        <w:pStyle w:val="11"/>
        <w:widowControl/>
        <w:spacing w:before="75" w:beforeAutospacing="0" w:after="75" w:afterAutospacing="0" w:line="435" w:lineRule="atLeast"/>
        <w:ind w:firstLine="480" w:firstLineChars="200"/>
        <w:rPr>
          <w:rFonts w:hint="eastAsia" w:ascii="宋体" w:hAnsi="宋体" w:cs="宋体"/>
          <w:color w:val="auto"/>
          <w:highlight w:val="none"/>
        </w:rPr>
      </w:pPr>
      <w:r>
        <w:rPr>
          <w:rFonts w:hint="eastAsia" w:ascii="宋体" w:hAnsi="宋体" w:cs="宋体"/>
          <w:color w:val="auto"/>
          <w:highlight w:val="none"/>
        </w:rPr>
        <w:t>5.2特定条件：</w:t>
      </w:r>
    </w:p>
    <w:tbl>
      <w:tblPr>
        <w:tblStyle w:val="13"/>
        <w:tblW w:w="49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2"/>
        <w:gridCol w:w="7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2" w:type="dxa"/>
            <w:noWrap w:val="0"/>
            <w:vAlign w:val="top"/>
          </w:tcPr>
          <w:p>
            <w:pPr>
              <w:pStyle w:val="16"/>
              <w:rPr>
                <w:color w:val="auto"/>
                <w:sz w:val="21"/>
                <w:szCs w:val="21"/>
                <w:highlight w:val="none"/>
              </w:rPr>
            </w:pPr>
            <w:r>
              <w:rPr>
                <w:color w:val="auto"/>
                <w:sz w:val="21"/>
                <w:szCs w:val="21"/>
                <w:highlight w:val="none"/>
              </w:rPr>
              <w:t>资格审查要求概况</w:t>
            </w:r>
          </w:p>
        </w:tc>
        <w:tc>
          <w:tcPr>
            <w:tcW w:w="7148" w:type="dxa"/>
            <w:noWrap w:val="0"/>
            <w:vAlign w:val="top"/>
          </w:tcPr>
          <w:p>
            <w:pPr>
              <w:pStyle w:val="16"/>
              <w:rPr>
                <w:color w:val="auto"/>
                <w:sz w:val="21"/>
                <w:szCs w:val="21"/>
                <w:highlight w:val="none"/>
              </w:rPr>
            </w:pPr>
            <w:r>
              <w:rPr>
                <w:color w:val="auto"/>
                <w:sz w:val="21"/>
                <w:szCs w:val="21"/>
                <w:highlight w:val="none"/>
              </w:rPr>
              <w:t>评审点具体描述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2042" w:type="dxa"/>
            <w:noWrap w:val="0"/>
            <w:vAlign w:val="top"/>
          </w:tcPr>
          <w:p>
            <w:pPr>
              <w:pStyle w:val="16"/>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资格承诺函</w:t>
            </w:r>
          </w:p>
        </w:tc>
        <w:tc>
          <w:tcPr>
            <w:tcW w:w="7148" w:type="dxa"/>
            <w:noWrap w:val="0"/>
            <w:vAlign w:val="top"/>
          </w:tcPr>
          <w:p>
            <w:pPr>
              <w:pStyle w:val="16"/>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2042" w:type="dxa"/>
            <w:noWrap w:val="0"/>
            <w:vAlign w:val="top"/>
          </w:tcPr>
          <w:p>
            <w:pPr>
              <w:pStyle w:val="16"/>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投标人资格</w:t>
            </w:r>
          </w:p>
        </w:tc>
        <w:tc>
          <w:tcPr>
            <w:tcW w:w="7148" w:type="dxa"/>
            <w:noWrap w:val="0"/>
            <w:vAlign w:val="top"/>
          </w:tcPr>
          <w:p>
            <w:pPr>
              <w:pStyle w:val="16"/>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供应商须具备有效的不低于二级建筑装修装饰工程专业资质和《施工企业安全生产许可证》。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2042" w:type="dxa"/>
            <w:noWrap w:val="0"/>
            <w:vAlign w:val="top"/>
          </w:tcPr>
          <w:p>
            <w:pPr>
              <w:pStyle w:val="16"/>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人员要求</w:t>
            </w:r>
          </w:p>
        </w:tc>
        <w:tc>
          <w:tcPr>
            <w:tcW w:w="7148" w:type="dxa"/>
            <w:noWrap w:val="0"/>
            <w:vAlign w:val="top"/>
          </w:tcPr>
          <w:p>
            <w:pPr>
              <w:pStyle w:val="16"/>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供应商拟担任本招标项目的项目负责人（即项目经理，下同）须具备有效的不低于二级建筑工程 专业注册建造师执业资格，并具备有效的安全生产考核合格证书（B证）</w:t>
            </w:r>
            <w:r>
              <w:rPr>
                <w:rFonts w:hint="eastAsia" w:ascii="宋体" w:hAnsi="宋体" w:cs="宋体"/>
                <w:color w:val="auto"/>
                <w:kern w:val="0"/>
                <w:sz w:val="24"/>
                <w:szCs w:val="24"/>
                <w:highlight w:val="none"/>
                <w:lang w:val="en-US" w:eastAsia="zh-CN" w:bidi="ar"/>
              </w:rPr>
              <w:t>。</w:t>
            </w:r>
          </w:p>
        </w:tc>
      </w:tr>
    </w:tbl>
    <w:p>
      <w:pPr>
        <w:pStyle w:val="11"/>
        <w:widowControl/>
        <w:spacing w:before="75" w:beforeAutospacing="0" w:after="75" w:afterAutospacing="0" w:line="435" w:lineRule="atLeast"/>
        <w:ind w:firstLine="480" w:firstLineChars="200"/>
        <w:rPr>
          <w:color w:val="auto"/>
          <w:highlight w:val="none"/>
        </w:rPr>
      </w:pPr>
      <w:r>
        <w:rPr>
          <w:rFonts w:hint="eastAsia" w:ascii="宋体" w:hAnsi="宋体" w:cs="宋体"/>
          <w:color w:val="auto"/>
          <w:highlight w:val="none"/>
        </w:rPr>
        <w:t>5.3是否接受联合体形式的响应磋商：不接受</w:t>
      </w:r>
    </w:p>
    <w:p>
      <w:pPr>
        <w:pStyle w:val="11"/>
        <w:widowControl/>
        <w:spacing w:before="75" w:beforeAutospacing="0" w:after="75" w:afterAutospacing="0" w:line="435" w:lineRule="atLeast"/>
        <w:ind w:firstLine="481" w:firstLineChars="200"/>
        <w:rPr>
          <w:color w:val="auto"/>
          <w:highlight w:val="none"/>
        </w:rPr>
      </w:pPr>
      <w:r>
        <w:rPr>
          <w:rStyle w:val="15"/>
          <w:rFonts w:hint="eastAsia" w:ascii="宋体" w:hAnsi="宋体" w:cs="宋体"/>
          <w:color w:val="auto"/>
          <w:highlight w:val="none"/>
        </w:rPr>
        <w:t>※根据上述资格要求，供应商响应文件中应提交的“资格证明文件”相关规定和资料要求，详见竞争性磋商须知前附表和磋商文件第五章。</w:t>
      </w:r>
    </w:p>
    <w:p>
      <w:pPr>
        <w:pStyle w:val="11"/>
        <w:widowControl/>
        <w:spacing w:before="75" w:beforeAutospacing="0" w:after="75" w:afterAutospacing="0" w:line="435" w:lineRule="atLeast"/>
        <w:ind w:firstLine="480" w:firstLineChars="200"/>
        <w:rPr>
          <w:color w:val="auto"/>
          <w:highlight w:val="none"/>
        </w:rPr>
      </w:pPr>
      <w:r>
        <w:rPr>
          <w:rFonts w:hint="eastAsia" w:ascii="宋体" w:hAnsi="宋体" w:cs="宋体"/>
          <w:color w:val="auto"/>
          <w:highlight w:val="none"/>
        </w:rPr>
        <w:t>6.供应商报名期限：</w:t>
      </w:r>
      <w:r>
        <w:rPr>
          <w:rFonts w:hint="eastAsia" w:ascii="宋体" w:hAnsi="宋体" w:cs="宋体"/>
          <w:color w:val="auto"/>
          <w:highlight w:val="none"/>
          <w:u w:val="single"/>
        </w:rPr>
        <w:t>202</w:t>
      </w:r>
      <w:r>
        <w:rPr>
          <w:rFonts w:hint="eastAsia" w:ascii="宋体" w:hAnsi="宋体" w:cs="宋体"/>
          <w:color w:val="auto"/>
          <w:highlight w:val="none"/>
          <w:u w:val="single"/>
          <w:lang w:val="en-US" w:eastAsia="zh-CN"/>
        </w:rPr>
        <w:t>5</w:t>
      </w:r>
      <w:r>
        <w:rPr>
          <w:rFonts w:hint="eastAsia" w:ascii="宋体" w:hAnsi="宋体" w:cs="宋体"/>
          <w:color w:val="auto"/>
          <w:highlight w:val="none"/>
        </w:rPr>
        <w:t>年</w:t>
      </w:r>
      <w:r>
        <w:rPr>
          <w:rFonts w:hint="eastAsia" w:ascii="宋体" w:hAnsi="宋体" w:cs="宋体"/>
          <w:color w:val="auto"/>
          <w:highlight w:val="none"/>
          <w:u w:val="single"/>
          <w:lang w:val="en-US" w:eastAsia="zh-CN"/>
        </w:rPr>
        <w:t>03</w:t>
      </w:r>
      <w:r>
        <w:rPr>
          <w:rFonts w:hint="eastAsia" w:ascii="宋体" w:hAnsi="宋体" w:cs="宋体"/>
          <w:color w:val="auto"/>
          <w:highlight w:val="none"/>
        </w:rPr>
        <w:t>月</w:t>
      </w:r>
      <w:r>
        <w:rPr>
          <w:rFonts w:hint="eastAsia" w:ascii="宋体" w:hAnsi="宋体" w:cs="宋体"/>
          <w:color w:val="auto"/>
          <w:highlight w:val="none"/>
          <w:u w:val="single"/>
          <w:lang w:val="en-US" w:eastAsia="zh-CN"/>
        </w:rPr>
        <w:t>14</w:t>
      </w:r>
      <w:r>
        <w:rPr>
          <w:rFonts w:hint="eastAsia" w:ascii="宋体" w:hAnsi="宋体" w:cs="宋体"/>
          <w:color w:val="auto"/>
          <w:highlight w:val="none"/>
        </w:rPr>
        <w:t>日至</w:t>
      </w:r>
      <w:r>
        <w:rPr>
          <w:rFonts w:hint="eastAsia" w:ascii="宋体" w:hAnsi="宋体" w:cs="宋体"/>
          <w:color w:val="auto"/>
          <w:highlight w:val="none"/>
          <w:u w:val="single"/>
        </w:rPr>
        <w:t>202</w:t>
      </w:r>
      <w:r>
        <w:rPr>
          <w:rFonts w:hint="eastAsia" w:ascii="宋体" w:hAnsi="宋体" w:cs="宋体"/>
          <w:color w:val="auto"/>
          <w:highlight w:val="none"/>
          <w:u w:val="single"/>
          <w:lang w:val="en-US" w:eastAsia="zh-CN"/>
        </w:rPr>
        <w:t>5</w:t>
      </w:r>
      <w:r>
        <w:rPr>
          <w:rFonts w:hint="eastAsia" w:ascii="宋体" w:hAnsi="宋体" w:cs="宋体"/>
          <w:color w:val="auto"/>
          <w:highlight w:val="none"/>
        </w:rPr>
        <w:t>年</w:t>
      </w:r>
      <w:r>
        <w:rPr>
          <w:rFonts w:hint="eastAsia" w:ascii="宋体" w:hAnsi="宋体" w:cs="宋体"/>
          <w:color w:val="auto"/>
          <w:highlight w:val="none"/>
          <w:u w:val="single"/>
          <w:lang w:val="en-US" w:eastAsia="zh-CN"/>
        </w:rPr>
        <w:t>03</w:t>
      </w:r>
      <w:r>
        <w:rPr>
          <w:rFonts w:hint="eastAsia" w:ascii="宋体" w:hAnsi="宋体" w:cs="宋体"/>
          <w:color w:val="auto"/>
          <w:highlight w:val="none"/>
        </w:rPr>
        <w:t>月</w:t>
      </w:r>
      <w:r>
        <w:rPr>
          <w:rFonts w:hint="eastAsia" w:ascii="宋体" w:hAnsi="宋体" w:cs="宋体"/>
          <w:color w:val="auto"/>
          <w:highlight w:val="none"/>
          <w:u w:val="single"/>
          <w:lang w:val="en-US" w:eastAsia="zh-CN"/>
        </w:rPr>
        <w:t>21</w:t>
      </w:r>
      <w:r>
        <w:rPr>
          <w:rFonts w:hint="eastAsia" w:ascii="宋体" w:hAnsi="宋体" w:cs="宋体"/>
          <w:color w:val="auto"/>
          <w:highlight w:val="none"/>
        </w:rPr>
        <w:t>日（节假日除外），每天上午</w:t>
      </w:r>
      <w:r>
        <w:rPr>
          <w:rFonts w:hint="eastAsia" w:ascii="宋体" w:hAnsi="宋体" w:cs="宋体"/>
          <w:color w:val="auto"/>
          <w:highlight w:val="none"/>
          <w:u w:val="single"/>
        </w:rPr>
        <w:t>9:00</w:t>
      </w:r>
      <w:r>
        <w:rPr>
          <w:rFonts w:hint="eastAsia" w:ascii="宋体" w:hAnsi="宋体" w:cs="宋体"/>
          <w:color w:val="auto"/>
          <w:highlight w:val="none"/>
        </w:rPr>
        <w:t>至</w:t>
      </w:r>
      <w:r>
        <w:rPr>
          <w:rFonts w:hint="eastAsia" w:ascii="宋体" w:hAnsi="宋体" w:cs="宋体"/>
          <w:color w:val="auto"/>
          <w:highlight w:val="none"/>
          <w:u w:val="single"/>
        </w:rPr>
        <w:t>12:00</w:t>
      </w:r>
      <w:r>
        <w:rPr>
          <w:rFonts w:hint="eastAsia" w:ascii="宋体" w:hAnsi="宋体" w:cs="宋体"/>
          <w:color w:val="auto"/>
          <w:highlight w:val="none"/>
        </w:rPr>
        <w:t>，下午</w:t>
      </w:r>
      <w:r>
        <w:rPr>
          <w:rFonts w:hint="eastAsia" w:ascii="宋体" w:hAnsi="宋体" w:cs="宋体"/>
          <w:color w:val="auto"/>
          <w:highlight w:val="none"/>
          <w:u w:val="single"/>
        </w:rPr>
        <w:t>14:00</w:t>
      </w:r>
      <w:r>
        <w:rPr>
          <w:rFonts w:hint="eastAsia" w:ascii="宋体" w:hAnsi="宋体" w:cs="宋体"/>
          <w:color w:val="auto"/>
          <w:highlight w:val="none"/>
        </w:rPr>
        <w:t>至</w:t>
      </w:r>
      <w:r>
        <w:rPr>
          <w:rFonts w:hint="eastAsia" w:ascii="宋体" w:hAnsi="宋体" w:cs="宋体"/>
          <w:color w:val="auto"/>
          <w:highlight w:val="none"/>
          <w:u w:val="single"/>
        </w:rPr>
        <w:t>17:00</w:t>
      </w:r>
      <w:r>
        <w:rPr>
          <w:rFonts w:hint="eastAsia" w:ascii="宋体" w:hAnsi="宋体" w:cs="宋体"/>
          <w:color w:val="auto"/>
          <w:highlight w:val="none"/>
        </w:rPr>
        <w:t>（北京时间）</w:t>
      </w:r>
      <w:r>
        <w:rPr>
          <w:rFonts w:hint="eastAsia" w:ascii="宋体" w:hAnsi="宋体" w:cs="宋体"/>
          <w:color w:val="auto"/>
          <w:highlight w:val="none"/>
          <w:shd w:val="clear" w:color="auto" w:fill="FFFFFF"/>
        </w:rPr>
        <w:t>。</w:t>
      </w:r>
    </w:p>
    <w:p>
      <w:pPr>
        <w:pStyle w:val="11"/>
        <w:widowControl/>
        <w:spacing w:before="75" w:beforeAutospacing="0" w:after="75" w:afterAutospacing="0" w:line="435" w:lineRule="atLeast"/>
        <w:ind w:firstLine="480" w:firstLineChars="200"/>
        <w:rPr>
          <w:color w:val="auto"/>
          <w:highlight w:val="none"/>
        </w:rPr>
      </w:pPr>
      <w:r>
        <w:rPr>
          <w:rFonts w:hint="eastAsia" w:ascii="宋体" w:hAnsi="宋体" w:cs="宋体"/>
          <w:color w:val="auto"/>
          <w:highlight w:val="none"/>
          <w:shd w:val="clear" w:color="auto" w:fill="FFFFFF"/>
        </w:rPr>
        <w:t>6.1如果采购过程中有发出更正公告，采购人将根据实际情况确定是否延长报名期限，则报名截止时间以更正公告中的约定为准。</w:t>
      </w:r>
    </w:p>
    <w:p>
      <w:pPr>
        <w:pStyle w:val="11"/>
        <w:widowControl/>
        <w:spacing w:before="75" w:beforeAutospacing="0" w:after="75" w:afterAutospacing="0" w:line="435" w:lineRule="atLeast"/>
        <w:ind w:firstLine="480" w:firstLineChars="200"/>
        <w:rPr>
          <w:rFonts w:hint="eastAsia" w:ascii="宋体" w:hAnsi="宋体" w:cs="宋体"/>
          <w:color w:val="0000FF"/>
          <w:highlight w:val="none"/>
          <w:shd w:val="clear" w:color="auto" w:fill="FFFFFF"/>
        </w:rPr>
      </w:pPr>
      <w:r>
        <w:rPr>
          <w:rFonts w:hint="eastAsia" w:ascii="宋体" w:hAnsi="宋体" w:cs="宋体"/>
          <w:color w:val="auto"/>
          <w:highlight w:val="none"/>
          <w:shd w:val="clear" w:color="auto" w:fill="FFFFFF"/>
        </w:rPr>
        <w:t>6.2报名期限内，供应商应在报名期限内到</w:t>
      </w:r>
      <w:r>
        <w:rPr>
          <w:rFonts w:hint="eastAsia" w:ascii="宋体" w:hAnsi="宋体" w:cs="宋体"/>
          <w:color w:val="auto"/>
          <w:highlight w:val="none"/>
          <w:u w:val="single"/>
          <w:shd w:val="clear" w:color="auto" w:fill="FFFFFF"/>
        </w:rPr>
        <w:t>福建广福联工程管理有限公司（</w:t>
      </w:r>
      <w:r>
        <w:rPr>
          <w:rFonts w:hint="eastAsia" w:ascii="宋体" w:hAnsi="宋体" w:cs="宋体"/>
          <w:color w:val="auto"/>
          <w:highlight w:val="none"/>
          <w:u w:val="single"/>
        </w:rPr>
        <w:t xml:space="preserve">福建省福州市鼓楼区湖东路298号伊法达大厦9层902 </w:t>
      </w:r>
      <w:r>
        <w:rPr>
          <w:rFonts w:hint="eastAsia" w:ascii="宋体" w:hAnsi="宋体" w:cs="宋体"/>
          <w:color w:val="auto"/>
          <w:highlight w:val="none"/>
          <w:shd w:val="clear" w:color="auto" w:fill="FFFFFF"/>
        </w:rPr>
        <w:t>）购买招标文件，招标文件售价</w:t>
      </w:r>
      <w:r>
        <w:rPr>
          <w:rFonts w:hint="eastAsia" w:ascii="宋体" w:hAnsi="宋体" w:cs="宋体"/>
          <w:color w:val="auto"/>
          <w:highlight w:val="none"/>
          <w:u w:val="single"/>
          <w:shd w:val="clear" w:color="auto" w:fill="FFFFFF"/>
          <w:lang w:val="en-US" w:eastAsia="zh-CN"/>
        </w:rPr>
        <w:t>2</w:t>
      </w:r>
      <w:r>
        <w:rPr>
          <w:rFonts w:hint="eastAsia" w:ascii="宋体" w:hAnsi="宋体" w:cs="宋体"/>
          <w:color w:val="auto"/>
          <w:highlight w:val="none"/>
          <w:u w:val="single"/>
          <w:shd w:val="clear" w:color="auto" w:fill="FFFFFF"/>
        </w:rPr>
        <w:t>00</w:t>
      </w:r>
      <w:r>
        <w:rPr>
          <w:rFonts w:hint="eastAsia" w:ascii="宋体" w:hAnsi="宋体" w:cs="宋体"/>
          <w:color w:val="auto"/>
          <w:highlight w:val="none"/>
          <w:shd w:val="clear" w:color="auto" w:fill="FFFFFF"/>
        </w:rPr>
        <w:t>元人民币、售后不退。否则投标将被拒绝。</w:t>
      </w:r>
    </w:p>
    <w:p>
      <w:pPr>
        <w:pStyle w:val="11"/>
        <w:widowControl/>
        <w:spacing w:before="75" w:beforeAutospacing="0" w:after="75" w:afterAutospacing="0" w:line="435" w:lineRule="atLeast"/>
        <w:ind w:firstLine="480" w:firstLineChars="200"/>
        <w:rPr>
          <w:color w:val="auto"/>
          <w:highlight w:val="none"/>
        </w:rPr>
      </w:pPr>
      <w:r>
        <w:rPr>
          <w:rFonts w:hint="eastAsia" w:ascii="宋体" w:hAnsi="宋体" w:cs="宋体"/>
          <w:color w:val="auto"/>
          <w:highlight w:val="none"/>
        </w:rPr>
        <w:t>7.获取采购文件时间、地点、方式：</w:t>
      </w:r>
    </w:p>
    <w:p>
      <w:pPr>
        <w:pStyle w:val="11"/>
        <w:widowControl/>
        <w:spacing w:before="75" w:beforeAutospacing="0" w:after="75" w:afterAutospacing="0" w:line="435" w:lineRule="atLeast"/>
        <w:ind w:firstLine="480" w:firstLineChars="200"/>
        <w:rPr>
          <w:color w:val="auto"/>
          <w:highlight w:val="none"/>
        </w:rPr>
      </w:pPr>
      <w:r>
        <w:rPr>
          <w:rFonts w:hint="eastAsia" w:ascii="宋体" w:hAnsi="宋体" w:cs="宋体"/>
          <w:color w:val="auto"/>
          <w:highlight w:val="none"/>
        </w:rPr>
        <w:t>7.1采购文件的提供期限：与报名期限一致。</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7.2获取地点及方式：供应商应在报名期限内到</w:t>
      </w:r>
      <w:r>
        <w:rPr>
          <w:rFonts w:hint="eastAsia" w:ascii="宋体" w:hAnsi="宋体" w:cs="宋体"/>
          <w:color w:val="auto"/>
          <w:highlight w:val="none"/>
          <w:u w:val="single"/>
          <w:shd w:val="clear" w:color="auto" w:fill="FFFFFF"/>
        </w:rPr>
        <w:t>福建广福联工程管理有限公司</w:t>
      </w:r>
      <w:r>
        <w:rPr>
          <w:rFonts w:hint="eastAsia" w:ascii="宋体" w:hAnsi="宋体" w:cs="宋体"/>
          <w:color w:val="auto"/>
          <w:highlight w:val="none"/>
          <w:u w:val="single"/>
        </w:rPr>
        <w:t>（福建省福州市鼓楼区湖东路298号伊法达大厦9层902</w:t>
      </w:r>
      <w:r>
        <w:rPr>
          <w:rFonts w:hint="eastAsia" w:ascii="宋体" w:hAnsi="宋体" w:cs="宋体"/>
          <w:color w:val="auto"/>
          <w:highlight w:val="none"/>
        </w:rPr>
        <w:t>）购买招标文件。</w:t>
      </w:r>
    </w:p>
    <w:p>
      <w:pPr>
        <w:pStyle w:val="11"/>
        <w:widowControl/>
        <w:spacing w:before="75" w:beforeAutospacing="0" w:after="75" w:afterAutospacing="0" w:line="435" w:lineRule="atLeast"/>
        <w:ind w:firstLine="480" w:firstLineChars="200"/>
        <w:rPr>
          <w:color w:val="auto"/>
          <w:highlight w:val="none"/>
        </w:rPr>
      </w:pPr>
      <w:r>
        <w:rPr>
          <w:rFonts w:hint="eastAsia" w:ascii="宋体" w:hAnsi="宋体" w:cs="宋体"/>
          <w:color w:val="auto"/>
          <w:highlight w:val="none"/>
        </w:rPr>
        <w:t>8.采购文件售价：招标文件售价</w:t>
      </w:r>
      <w:r>
        <w:rPr>
          <w:rFonts w:hint="eastAsia" w:ascii="宋体" w:hAnsi="宋体" w:cs="宋体"/>
          <w:color w:val="auto"/>
          <w:highlight w:val="none"/>
          <w:lang w:val="en-US" w:eastAsia="zh-CN"/>
        </w:rPr>
        <w:t>2</w:t>
      </w:r>
      <w:r>
        <w:rPr>
          <w:rFonts w:ascii="宋体" w:hAnsi="宋体" w:cs="宋体"/>
          <w:color w:val="auto"/>
          <w:highlight w:val="none"/>
        </w:rPr>
        <w:t>00</w:t>
      </w:r>
      <w:r>
        <w:rPr>
          <w:rFonts w:hint="eastAsia" w:ascii="宋体" w:hAnsi="宋体" w:cs="宋体"/>
          <w:color w:val="auto"/>
          <w:highlight w:val="none"/>
        </w:rPr>
        <w:t>元人民币、售后不退，如需邮寄，另加</w:t>
      </w:r>
      <w:r>
        <w:rPr>
          <w:rFonts w:ascii="宋体" w:hAnsi="宋体" w:cs="宋体"/>
          <w:color w:val="auto"/>
          <w:highlight w:val="none"/>
        </w:rPr>
        <w:t>50</w:t>
      </w:r>
      <w:r>
        <w:rPr>
          <w:rFonts w:hint="eastAsia" w:ascii="宋体" w:hAnsi="宋体" w:cs="宋体"/>
          <w:color w:val="auto"/>
          <w:highlight w:val="none"/>
        </w:rPr>
        <w:t>元人民币特快专递费，本招标代理公司不对邮寄过程中的遗失负责。 </w:t>
      </w:r>
    </w:p>
    <w:p>
      <w:pPr>
        <w:pStyle w:val="11"/>
        <w:widowControl/>
        <w:spacing w:before="75" w:beforeAutospacing="0" w:after="75" w:afterAutospacing="0" w:line="435" w:lineRule="atLeast"/>
        <w:ind w:left="239" w:leftChars="114" w:firstLine="240" w:firstLineChars="100"/>
        <w:rPr>
          <w:rFonts w:hint="eastAsia" w:ascii="宋体" w:hAnsi="宋体" w:cs="宋体"/>
          <w:color w:val="auto"/>
          <w:highlight w:val="none"/>
        </w:rPr>
      </w:pPr>
      <w:r>
        <w:rPr>
          <w:rFonts w:hint="eastAsia" w:ascii="宋体" w:hAnsi="宋体" w:cs="宋体"/>
          <w:color w:val="auto"/>
          <w:highlight w:val="none"/>
        </w:rPr>
        <w:t>9.首次响应文件递交截止时间及地点：首次响应文件递交截止时间</w:t>
      </w:r>
      <w:r>
        <w:rPr>
          <w:rFonts w:hint="eastAsia" w:ascii="宋体" w:hAnsi="宋体" w:cs="宋体"/>
          <w:color w:val="auto"/>
          <w:highlight w:val="none"/>
          <w:u w:val="single"/>
        </w:rPr>
        <w:t>202</w:t>
      </w:r>
      <w:r>
        <w:rPr>
          <w:rFonts w:hint="eastAsia" w:ascii="宋体" w:hAnsi="宋体" w:cs="宋体"/>
          <w:color w:val="auto"/>
          <w:highlight w:val="none"/>
          <w:u w:val="single"/>
          <w:lang w:val="en-US" w:eastAsia="zh-CN"/>
        </w:rPr>
        <w:t>5</w:t>
      </w:r>
      <w:r>
        <w:rPr>
          <w:rFonts w:hint="eastAsia" w:ascii="宋体" w:hAnsi="宋体" w:cs="宋体"/>
          <w:color w:val="auto"/>
          <w:highlight w:val="none"/>
        </w:rPr>
        <w:t>年</w:t>
      </w:r>
      <w:r>
        <w:rPr>
          <w:rFonts w:hint="eastAsia" w:ascii="宋体" w:hAnsi="宋体" w:cs="宋体"/>
          <w:color w:val="auto"/>
          <w:highlight w:val="none"/>
          <w:u w:val="single"/>
          <w:lang w:val="en-US" w:eastAsia="zh-CN"/>
        </w:rPr>
        <w:t>03</w:t>
      </w:r>
      <w:r>
        <w:rPr>
          <w:rFonts w:hint="eastAsia" w:ascii="宋体" w:hAnsi="宋体" w:cs="宋体"/>
          <w:color w:val="auto"/>
          <w:highlight w:val="none"/>
        </w:rPr>
        <w:t>月</w:t>
      </w:r>
      <w:r>
        <w:rPr>
          <w:rFonts w:hint="eastAsia" w:ascii="宋体" w:hAnsi="宋体" w:cs="宋体"/>
          <w:color w:val="auto"/>
          <w:highlight w:val="none"/>
          <w:u w:val="single"/>
          <w:lang w:val="en-US" w:eastAsia="zh-CN"/>
        </w:rPr>
        <w:t xml:space="preserve">25  </w:t>
      </w:r>
      <w:r>
        <w:rPr>
          <w:rFonts w:hint="eastAsia" w:ascii="宋体" w:hAnsi="宋体" w:cs="宋体"/>
          <w:color w:val="auto"/>
          <w:highlight w:val="none"/>
        </w:rPr>
        <w:t>日上午</w:t>
      </w:r>
      <w:r>
        <w:rPr>
          <w:rFonts w:hint="eastAsia" w:ascii="宋体" w:hAnsi="宋体" w:cs="宋体"/>
          <w:color w:val="auto"/>
          <w:highlight w:val="none"/>
          <w:u w:val="single"/>
        </w:rPr>
        <w:t>09:30</w:t>
      </w:r>
      <w:r>
        <w:rPr>
          <w:rFonts w:hint="eastAsia" w:ascii="宋体" w:hAnsi="宋体" w:cs="宋体"/>
          <w:color w:val="auto"/>
          <w:highlight w:val="none"/>
        </w:rPr>
        <w:t>。供应商应在此之前将密封的首次响应文件送达本章第11条载明的地点，逾期送达的或不符合规定的响应文件将被拒绝接收。（从磋商文件开始发出之日起至供应商提交首次响应文件截止之日止不得少于10日）。</w:t>
      </w:r>
    </w:p>
    <w:p>
      <w:pPr>
        <w:pStyle w:val="11"/>
        <w:widowControl/>
        <w:spacing w:before="75" w:beforeAutospacing="0" w:after="75" w:afterAutospacing="0" w:line="435" w:lineRule="atLeast"/>
        <w:ind w:firstLine="480" w:firstLineChars="200"/>
        <w:rPr>
          <w:color w:val="auto"/>
          <w:highlight w:val="none"/>
        </w:rPr>
      </w:pPr>
      <w:r>
        <w:rPr>
          <w:rFonts w:hint="eastAsia" w:ascii="宋体" w:hAnsi="宋体" w:cs="宋体"/>
          <w:color w:val="auto"/>
          <w:highlight w:val="none"/>
        </w:rPr>
        <w:t>10.磋商时间及地点：</w:t>
      </w:r>
      <w:r>
        <w:rPr>
          <w:rFonts w:hint="eastAsia" w:ascii="宋体" w:hAnsi="宋体" w:cs="宋体"/>
          <w:color w:val="auto"/>
          <w:highlight w:val="none"/>
          <w:u w:val="single"/>
        </w:rPr>
        <w:t>202</w:t>
      </w:r>
      <w:r>
        <w:rPr>
          <w:rFonts w:hint="eastAsia" w:ascii="宋体" w:hAnsi="宋体" w:cs="宋体"/>
          <w:color w:val="auto"/>
          <w:highlight w:val="none"/>
          <w:u w:val="single"/>
          <w:lang w:val="en-US" w:eastAsia="zh-CN"/>
        </w:rPr>
        <w:t>5</w:t>
      </w:r>
      <w:r>
        <w:rPr>
          <w:rFonts w:hint="eastAsia" w:ascii="宋体" w:hAnsi="宋体" w:cs="宋体"/>
          <w:color w:val="auto"/>
          <w:highlight w:val="none"/>
        </w:rPr>
        <w:t>年</w:t>
      </w:r>
      <w:r>
        <w:rPr>
          <w:rFonts w:hint="eastAsia" w:ascii="宋体" w:hAnsi="宋体" w:cs="宋体"/>
          <w:color w:val="auto"/>
          <w:highlight w:val="none"/>
          <w:u w:val="single"/>
          <w:lang w:val="en-US" w:eastAsia="zh-CN"/>
        </w:rPr>
        <w:t>03</w:t>
      </w:r>
      <w:r>
        <w:rPr>
          <w:rFonts w:hint="eastAsia" w:ascii="宋体" w:hAnsi="宋体" w:cs="宋体"/>
          <w:color w:val="auto"/>
          <w:highlight w:val="none"/>
        </w:rPr>
        <w:t>月</w:t>
      </w:r>
      <w:r>
        <w:rPr>
          <w:rFonts w:hint="eastAsia" w:ascii="宋体" w:hAnsi="宋体" w:cs="宋体"/>
          <w:color w:val="auto"/>
          <w:highlight w:val="none"/>
          <w:u w:val="single"/>
          <w:lang w:val="en-US" w:eastAsia="zh-CN"/>
        </w:rPr>
        <w:t>25</w:t>
      </w:r>
      <w:r>
        <w:rPr>
          <w:rFonts w:hint="eastAsia" w:ascii="宋体" w:hAnsi="宋体" w:cs="宋体"/>
          <w:color w:val="auto"/>
          <w:highlight w:val="none"/>
        </w:rPr>
        <w:t>日上午</w:t>
      </w:r>
      <w:r>
        <w:rPr>
          <w:rFonts w:hint="eastAsia" w:ascii="宋体" w:hAnsi="宋体" w:cs="宋体"/>
          <w:color w:val="auto"/>
          <w:highlight w:val="none"/>
          <w:u w:val="single"/>
        </w:rPr>
        <w:t>09:30</w:t>
      </w:r>
      <w:r>
        <w:rPr>
          <w:rFonts w:hint="eastAsia" w:ascii="宋体" w:hAnsi="宋体" w:cs="宋体"/>
          <w:color w:val="auto"/>
          <w:highlight w:val="none"/>
        </w:rPr>
        <w:t>，地点：</w:t>
      </w:r>
      <w:r>
        <w:rPr>
          <w:rFonts w:hint="eastAsia" w:ascii="宋体" w:hAnsi="宋体" w:cs="宋体"/>
          <w:color w:val="auto"/>
          <w:highlight w:val="none"/>
          <w:u w:val="single"/>
          <w:shd w:val="clear" w:color="auto" w:fill="FFFFFF"/>
        </w:rPr>
        <w:t>福建广福联工程管理有限公司</w:t>
      </w:r>
      <w:r>
        <w:rPr>
          <w:rFonts w:hint="eastAsia" w:ascii="宋体" w:hAnsi="宋体" w:cs="宋体"/>
          <w:color w:val="auto"/>
          <w:highlight w:val="none"/>
          <w:u w:val="single"/>
        </w:rPr>
        <w:t>（福建省福州市鼓楼区湖东路298号伊法达大厦9层902）</w:t>
      </w:r>
      <w:r>
        <w:rPr>
          <w:rFonts w:hint="eastAsia" w:ascii="宋体" w:hAnsi="宋体" w:cs="宋体"/>
          <w:color w:val="auto"/>
          <w:highlight w:val="none"/>
        </w:rPr>
        <w:t>开标大厅。</w:t>
      </w:r>
    </w:p>
    <w:p>
      <w:pPr>
        <w:pStyle w:val="11"/>
        <w:widowControl/>
        <w:spacing w:before="75" w:beforeAutospacing="0" w:after="75" w:afterAutospacing="0" w:line="435" w:lineRule="atLeast"/>
        <w:ind w:firstLine="480" w:firstLineChars="200"/>
        <w:rPr>
          <w:rFonts w:hint="eastAsia" w:ascii="宋体" w:hAnsi="宋体" w:cs="宋体"/>
          <w:color w:val="auto"/>
          <w:highlight w:val="none"/>
        </w:rPr>
      </w:pPr>
      <w:r>
        <w:rPr>
          <w:rFonts w:hint="eastAsia" w:ascii="宋体" w:hAnsi="宋体" w:cs="宋体"/>
          <w:color w:val="auto"/>
          <w:highlight w:val="none"/>
        </w:rPr>
        <w:t>11.竞争性磋商公告期限：于福州市鼓楼区政府门户网站（http://www.gl.gov.cn</w:t>
      </w:r>
      <w:r>
        <w:rPr>
          <w:rFonts w:hint="eastAsia" w:ascii="宋体" w:hAnsi="宋体" w:cs="宋体"/>
          <w:color w:val="auto"/>
          <w:highlight w:val="none"/>
          <w:lang w:val="en-US" w:eastAsia="zh-CN"/>
        </w:rPr>
        <w:t>/</w:t>
      </w:r>
      <w:r>
        <w:rPr>
          <w:rFonts w:hint="eastAsia" w:ascii="宋体" w:hAnsi="宋体" w:cs="宋体"/>
          <w:color w:val="auto"/>
          <w:highlight w:val="none"/>
        </w:rPr>
        <w:t>）采购信息发布媒体（提供期限自本公告发布之日起不得少于5个工作日）。</w:t>
      </w:r>
    </w:p>
    <w:p>
      <w:pPr>
        <w:pStyle w:val="11"/>
        <w:widowControl/>
        <w:spacing w:before="75" w:beforeAutospacing="0" w:after="75" w:afterAutospacing="0" w:line="435" w:lineRule="atLeast"/>
        <w:rPr>
          <w:rFonts w:hint="eastAsia" w:eastAsia="宋体"/>
          <w:color w:val="auto"/>
          <w:highlight w:val="none"/>
          <w:lang w:eastAsia="zh-CN"/>
        </w:rPr>
      </w:pPr>
      <w:r>
        <w:rPr>
          <w:rFonts w:hint="eastAsia" w:ascii="宋体" w:hAnsi="宋体" w:cs="宋体"/>
          <w:color w:val="auto"/>
          <w:highlight w:val="none"/>
        </w:rPr>
        <w:t>  12.采购人：</w:t>
      </w:r>
      <w:r>
        <w:rPr>
          <w:rFonts w:hint="eastAsia" w:ascii="宋体" w:hAnsi="宋体" w:cs="宋体"/>
          <w:color w:val="auto"/>
          <w:highlight w:val="none"/>
          <w:u w:val="single"/>
          <w:lang w:eastAsia="zh-CN"/>
        </w:rPr>
        <w:t>福建省福州市鼓楼区华大街道北江社区居民委员会</w:t>
      </w:r>
    </w:p>
    <w:p>
      <w:pPr>
        <w:pStyle w:val="11"/>
        <w:widowControl/>
        <w:spacing w:before="75" w:beforeAutospacing="0" w:after="75" w:afterAutospacing="0" w:line="435" w:lineRule="atLeast"/>
        <w:ind w:firstLine="480"/>
        <w:rPr>
          <w:rFonts w:hint="eastAsia" w:eastAsia="宋体"/>
          <w:color w:val="auto"/>
          <w:highlight w:val="none"/>
          <w:lang w:eastAsia="zh-CN"/>
        </w:rPr>
      </w:pPr>
      <w:r>
        <w:rPr>
          <w:rFonts w:hint="eastAsia" w:ascii="宋体" w:hAnsi="宋体" w:cs="宋体"/>
          <w:color w:val="auto"/>
          <w:highlight w:val="none"/>
        </w:rPr>
        <w:t>地  址：</w:t>
      </w:r>
      <w:r>
        <w:rPr>
          <w:rFonts w:hint="eastAsia" w:ascii="宋体" w:hAnsi="宋体" w:cs="宋体"/>
          <w:color w:val="auto"/>
          <w:highlight w:val="none"/>
          <w:u w:val="single"/>
          <w:lang w:eastAsia="zh-CN"/>
        </w:rPr>
        <w:t>福州市鼓楼区北二环中路131号时代金典606</w:t>
      </w:r>
    </w:p>
    <w:p>
      <w:pPr>
        <w:pStyle w:val="11"/>
        <w:widowControl/>
        <w:spacing w:before="75" w:beforeAutospacing="0" w:after="75" w:afterAutospacing="0" w:line="435" w:lineRule="atLeast"/>
        <w:ind w:firstLine="480"/>
        <w:rPr>
          <w:rFonts w:hint="eastAsia" w:ascii="宋体" w:hAnsi="宋体" w:eastAsia="宋体" w:cs="宋体"/>
          <w:color w:val="auto"/>
          <w:highlight w:val="none"/>
          <w:u w:val="single"/>
          <w:lang w:eastAsia="zh-CN"/>
        </w:rPr>
      </w:pPr>
      <w:r>
        <w:rPr>
          <w:rFonts w:hint="eastAsia" w:ascii="宋体" w:hAnsi="宋体" w:cs="宋体"/>
          <w:color w:val="auto"/>
          <w:highlight w:val="none"/>
        </w:rPr>
        <w:t>联系人：</w:t>
      </w:r>
      <w:r>
        <w:rPr>
          <w:rFonts w:hint="eastAsia" w:ascii="宋体" w:hAnsi="宋体" w:cs="宋体"/>
          <w:color w:val="auto"/>
          <w:highlight w:val="none"/>
          <w:u w:val="single"/>
          <w:lang w:eastAsia="zh-CN"/>
        </w:rPr>
        <w:t>曾春华</w:t>
      </w:r>
    </w:p>
    <w:p>
      <w:pPr>
        <w:pStyle w:val="11"/>
        <w:widowControl/>
        <w:spacing w:before="75" w:beforeAutospacing="0" w:after="75" w:afterAutospacing="0" w:line="435" w:lineRule="atLeast"/>
        <w:ind w:firstLine="480"/>
        <w:rPr>
          <w:rFonts w:hint="default" w:ascii="宋体" w:hAnsi="宋体" w:eastAsia="宋体" w:cs="宋体"/>
          <w:color w:val="auto"/>
          <w:highlight w:val="none"/>
          <w:u w:val="single"/>
          <w:lang w:val="en-US" w:eastAsia="zh-CN"/>
        </w:rPr>
      </w:pPr>
      <w:r>
        <w:rPr>
          <w:rFonts w:hint="eastAsia" w:ascii="宋体" w:hAnsi="宋体" w:cs="宋体"/>
          <w:color w:val="auto"/>
          <w:highlight w:val="none"/>
        </w:rPr>
        <w:t>联系电话：</w:t>
      </w:r>
      <w:r>
        <w:rPr>
          <w:rFonts w:hint="eastAsia" w:ascii="宋体" w:hAnsi="宋体" w:cs="宋体"/>
          <w:color w:val="auto"/>
          <w:highlight w:val="none"/>
          <w:u w:val="single"/>
          <w:lang w:val="en-US" w:eastAsia="zh-CN"/>
        </w:rPr>
        <w:t>0591-87814974</w:t>
      </w:r>
    </w:p>
    <w:p>
      <w:pPr>
        <w:pStyle w:val="11"/>
        <w:widowControl/>
        <w:spacing w:before="75" w:beforeAutospacing="0" w:after="75" w:afterAutospacing="0" w:line="435" w:lineRule="atLeast"/>
        <w:ind w:firstLine="480"/>
        <w:rPr>
          <w:rFonts w:hint="eastAsia" w:ascii="宋体" w:hAnsi="宋体" w:cs="宋体"/>
          <w:color w:val="auto"/>
          <w:highlight w:val="none"/>
          <w:u w:val="single"/>
        </w:rPr>
      </w:pPr>
      <w:r>
        <w:rPr>
          <w:rFonts w:hint="eastAsia" w:ascii="宋体" w:hAnsi="宋体" w:cs="宋体"/>
          <w:color w:val="auto"/>
          <w:highlight w:val="none"/>
        </w:rPr>
        <w:t>代理机构：</w:t>
      </w:r>
      <w:r>
        <w:rPr>
          <w:rFonts w:hint="eastAsia" w:ascii="宋体" w:hAnsi="宋体" w:cs="宋体"/>
          <w:color w:val="auto"/>
          <w:highlight w:val="none"/>
          <w:u w:val="single"/>
        </w:rPr>
        <w:t>福建广福联工程管理有限公司</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地  址：</w:t>
      </w:r>
      <w:r>
        <w:rPr>
          <w:rFonts w:hint="eastAsia" w:ascii="宋体" w:hAnsi="宋体" w:cs="宋体"/>
          <w:color w:val="auto"/>
          <w:highlight w:val="none"/>
          <w:u w:val="single"/>
        </w:rPr>
        <w:t xml:space="preserve">福建省福州市鼓楼区湖东路298号伊法达大厦9层902 </w:t>
      </w:r>
    </w:p>
    <w:p>
      <w:pPr>
        <w:pStyle w:val="11"/>
        <w:widowControl/>
        <w:spacing w:before="75" w:beforeAutospacing="0" w:after="75" w:afterAutospacing="0" w:line="435" w:lineRule="atLeast"/>
        <w:ind w:firstLine="480"/>
        <w:rPr>
          <w:rFonts w:hint="eastAsia" w:ascii="宋体" w:hAnsi="宋体" w:eastAsia="宋体" w:cs="宋体"/>
          <w:color w:val="auto"/>
          <w:highlight w:val="none"/>
          <w:u w:val="single"/>
          <w:lang w:eastAsia="zh-CN"/>
        </w:rPr>
      </w:pPr>
      <w:r>
        <w:rPr>
          <w:rFonts w:hint="eastAsia" w:ascii="宋体" w:hAnsi="宋体" w:cs="宋体"/>
          <w:color w:val="auto"/>
          <w:highlight w:val="none"/>
        </w:rPr>
        <w:t>联系人：</w:t>
      </w:r>
      <w:r>
        <w:rPr>
          <w:rFonts w:hint="eastAsia" w:ascii="宋体" w:hAnsi="宋体" w:eastAsia="宋体" w:cs="宋体"/>
          <w:color w:val="auto"/>
          <w:highlight w:val="none"/>
          <w:u w:val="single"/>
        </w:rPr>
        <w:t>陈</w:t>
      </w:r>
      <w:r>
        <w:rPr>
          <w:rFonts w:hint="eastAsia" w:ascii="宋体" w:hAnsi="宋体" w:cs="宋体"/>
          <w:color w:val="auto"/>
          <w:highlight w:val="none"/>
          <w:u w:val="single"/>
          <w:lang w:eastAsia="zh-CN"/>
        </w:rPr>
        <w:t>工</w:t>
      </w:r>
      <w:bookmarkStart w:id="10" w:name="_GoBack"/>
      <w:bookmarkEnd w:id="10"/>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联系电话：</w:t>
      </w:r>
      <w:r>
        <w:rPr>
          <w:rFonts w:hint="eastAsia" w:ascii="宋体" w:hAnsi="宋体" w:cs="宋体"/>
          <w:color w:val="auto"/>
          <w:highlight w:val="none"/>
          <w:u w:val="single"/>
          <w:lang w:val="en-US" w:eastAsia="zh-CN"/>
        </w:rPr>
        <w:t>0591-87814113</w:t>
      </w:r>
      <w:r>
        <w:rPr>
          <w:rFonts w:hint="eastAsia" w:ascii="宋体" w:hAnsi="宋体" w:cs="宋体"/>
          <w:color w:val="auto"/>
          <w:highlight w:val="none"/>
        </w:rPr>
        <w:t>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
      <w:tblGrid>
        <w:gridCol w:w="8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590" w:hRule="atLeast"/>
          <w:jc w:val="center"/>
        </w:trPr>
        <w:tc>
          <w:tcPr>
            <w:tcW w:w="8849" w:type="dxa"/>
            <w:noWrap w:val="0"/>
            <w:tcMar>
              <w:top w:w="0" w:type="dxa"/>
              <w:left w:w="105" w:type="dxa"/>
              <w:bottom w:w="0" w:type="dxa"/>
              <w:right w:w="105" w:type="dxa"/>
            </w:tcMar>
            <w:vAlign w:val="center"/>
          </w:tcPr>
          <w:p>
            <w:pPr>
              <w:pStyle w:val="11"/>
              <w:widowControl/>
              <w:spacing w:after="0" w:line="435" w:lineRule="atLeast"/>
              <w:jc w:val="both"/>
              <w:rPr>
                <w:rFonts w:hint="eastAsia" w:eastAsia="宋体"/>
                <w:highlight w:val="none"/>
                <w:lang w:eastAsia="zh-CN"/>
              </w:rPr>
            </w:pPr>
            <w:r>
              <w:rPr>
                <w:rStyle w:val="15"/>
                <w:rFonts w:hint="eastAsia" w:ascii="宋体" w:hAnsi="宋体" w:eastAsia="宋体" w:cs="宋体"/>
                <w:highlight w:val="none"/>
              </w:rPr>
              <w:t>邮寄购买</w:t>
            </w:r>
            <w:r>
              <w:rPr>
                <w:rStyle w:val="15"/>
                <w:rFonts w:hint="eastAsia" w:ascii="宋体" w:hAnsi="宋体" w:cs="宋体"/>
                <w:highlight w:val="none"/>
                <w:lang w:eastAsia="zh-CN"/>
              </w:rPr>
              <w:t>磋商文件</w:t>
            </w:r>
            <w:r>
              <w:rPr>
                <w:rStyle w:val="15"/>
                <w:rFonts w:hint="eastAsia" w:ascii="宋体" w:hAnsi="宋体" w:eastAsia="宋体" w:cs="宋体"/>
                <w:highlight w:val="none"/>
              </w:rPr>
              <w:t>、</w:t>
            </w:r>
            <w:r>
              <w:rPr>
                <w:rStyle w:val="15"/>
                <w:rFonts w:hint="eastAsia" w:ascii="宋体" w:hAnsi="宋体" w:eastAsia="宋体" w:cs="宋体"/>
                <w:highlight w:val="none"/>
                <w:lang w:eastAsia="zh-CN"/>
              </w:rPr>
              <w:t>磋商</w:t>
            </w:r>
            <w:r>
              <w:rPr>
                <w:rStyle w:val="15"/>
                <w:rFonts w:hint="eastAsia" w:ascii="宋体" w:hAnsi="宋体" w:eastAsia="宋体" w:cs="宋体"/>
                <w:highlight w:val="none"/>
              </w:rPr>
              <w:t>保证金、招标代理服务费缴纳</w:t>
            </w:r>
            <w:r>
              <w:rPr>
                <w:rStyle w:val="15"/>
                <w:rFonts w:hint="eastAsia" w:ascii="宋体" w:hAnsi="宋体" w:cs="宋体"/>
                <w:highlight w:val="none"/>
                <w:lang w:eastAsia="zh-CN"/>
              </w:rPr>
              <w:t>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427" w:hRule="atLeast"/>
          <w:jc w:val="center"/>
        </w:trPr>
        <w:tc>
          <w:tcPr>
            <w:tcW w:w="8849" w:type="dxa"/>
            <w:noWrap w:val="0"/>
            <w:tcMar>
              <w:top w:w="0" w:type="dxa"/>
              <w:left w:w="105" w:type="dxa"/>
              <w:bottom w:w="0" w:type="dxa"/>
              <w:right w:w="105" w:type="dxa"/>
            </w:tcMar>
            <w:vAlign w:val="center"/>
          </w:tcPr>
          <w:p>
            <w:pPr>
              <w:pStyle w:val="11"/>
              <w:widowControl/>
              <w:spacing w:after="0"/>
              <w:jc w:val="both"/>
              <w:rPr>
                <w:highlight w:val="none"/>
              </w:rPr>
            </w:pPr>
            <w:r>
              <w:rPr>
                <w:rFonts w:hint="eastAsia" w:ascii="宋体" w:hAnsi="宋体" w:eastAsia="宋体" w:cs="宋体"/>
                <w:highlight w:val="none"/>
              </w:rPr>
              <w:t>开户名称：</w:t>
            </w:r>
            <w:r>
              <w:rPr>
                <w:rFonts w:hint="eastAsia" w:ascii="宋体" w:hAnsi="宋体" w:eastAsia="宋体"/>
                <w:highlight w:val="none"/>
                <w:lang w:eastAsia="zh-CN"/>
              </w:rPr>
              <w:t>福建广福联工程管理有限公司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427" w:hRule="atLeast"/>
          <w:jc w:val="center"/>
        </w:trPr>
        <w:tc>
          <w:tcPr>
            <w:tcW w:w="8849" w:type="dxa"/>
            <w:noWrap w:val="0"/>
            <w:tcMar>
              <w:top w:w="0" w:type="dxa"/>
              <w:left w:w="105" w:type="dxa"/>
              <w:bottom w:w="0" w:type="dxa"/>
              <w:right w:w="105" w:type="dxa"/>
            </w:tcMar>
            <w:vAlign w:val="center"/>
          </w:tcPr>
          <w:p>
            <w:pPr>
              <w:pStyle w:val="11"/>
              <w:widowControl/>
              <w:spacing w:after="0"/>
              <w:jc w:val="both"/>
              <w:rPr>
                <w:highlight w:val="none"/>
              </w:rPr>
            </w:pPr>
            <w:r>
              <w:rPr>
                <w:rFonts w:hint="eastAsia" w:ascii="宋体" w:hAnsi="宋体" w:eastAsia="宋体" w:cs="宋体"/>
                <w:highlight w:val="none"/>
              </w:rPr>
              <w:t>开户银行：</w:t>
            </w:r>
            <w:r>
              <w:rPr>
                <w:rFonts w:hint="eastAsia" w:ascii="宋体" w:hAnsi="宋体"/>
                <w:highlight w:val="none"/>
              </w:rPr>
              <w:t>福建海峡银行福州福新支行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440" w:hRule="atLeast"/>
          <w:jc w:val="center"/>
        </w:trPr>
        <w:tc>
          <w:tcPr>
            <w:tcW w:w="8849" w:type="dxa"/>
            <w:noWrap w:val="0"/>
            <w:tcMar>
              <w:top w:w="0" w:type="dxa"/>
              <w:left w:w="105" w:type="dxa"/>
              <w:bottom w:w="0" w:type="dxa"/>
              <w:right w:w="105" w:type="dxa"/>
            </w:tcMar>
            <w:vAlign w:val="center"/>
          </w:tcPr>
          <w:p>
            <w:pPr>
              <w:pStyle w:val="11"/>
              <w:widowControl/>
              <w:spacing w:after="0"/>
              <w:jc w:val="both"/>
              <w:rPr>
                <w:highlight w:val="none"/>
              </w:rPr>
            </w:pPr>
            <w:r>
              <w:rPr>
                <w:rFonts w:hint="eastAsia" w:ascii="宋体" w:hAnsi="宋体" w:eastAsia="宋体" w:cs="宋体"/>
                <w:highlight w:val="none"/>
              </w:rPr>
              <w:t>银行账号：</w:t>
            </w:r>
            <w:r>
              <w:rPr>
                <w:rFonts w:hint="eastAsia" w:ascii="宋体" w:hAnsi="宋体"/>
                <w:highlight w:val="none"/>
              </w:rPr>
              <w:t>100052808850010001</w:t>
            </w:r>
          </w:p>
        </w:tc>
      </w:tr>
    </w:tbl>
    <w:p>
      <w:pPr>
        <w:pStyle w:val="11"/>
        <w:widowControl/>
        <w:spacing w:before="75" w:beforeAutospacing="0" w:after="75" w:afterAutospacing="0"/>
        <w:jc w:val="both"/>
        <w:rPr>
          <w:rStyle w:val="15"/>
          <w:rFonts w:hint="eastAsia" w:ascii="宋体" w:hAnsi="宋体" w:eastAsia="宋体" w:cs="宋体"/>
          <w:color w:val="auto"/>
          <w:sz w:val="31"/>
          <w:szCs w:val="31"/>
          <w:highlight w:val="none"/>
        </w:rPr>
      </w:pPr>
      <w:r>
        <w:rPr>
          <w:rFonts w:hint="eastAsia" w:ascii="宋体" w:hAnsi="宋体" w:eastAsia="宋体" w:cs="宋体"/>
          <w:spacing w:val="0"/>
          <w:sz w:val="24"/>
          <w:szCs w:val="24"/>
          <w:highlight w:val="none"/>
        </w:rPr>
        <w:t>（应在汇款凭证上注明“</w:t>
      </w:r>
      <w:r>
        <w:rPr>
          <w:rFonts w:hint="eastAsia" w:ascii="宋体" w:hAnsi="宋体" w:cs="宋体"/>
          <w:spacing w:val="0"/>
          <w:sz w:val="24"/>
          <w:szCs w:val="24"/>
          <w:highlight w:val="none"/>
          <w:lang w:eastAsia="zh-CN"/>
        </w:rPr>
        <w:t>GFLFJ[2025]第009号</w:t>
      </w:r>
      <w:r>
        <w:rPr>
          <w:rFonts w:hint="eastAsia" w:ascii="宋体" w:hAnsi="宋体" w:eastAsia="宋体" w:cs="宋体"/>
          <w:spacing w:val="0"/>
          <w:sz w:val="24"/>
          <w:szCs w:val="24"/>
          <w:highlight w:val="none"/>
        </w:rPr>
        <w:t>投标保证金”，如因供应商汇款凭证未注明项目招标编号造成银行无法识别投标保证金到账情况或识别错误的，其责任由供应商自行承担）</w:t>
      </w:r>
      <w:bookmarkStart w:id="2" w:name="_Toc18736"/>
      <w:bookmarkStart w:id="3" w:name="_Toc3522"/>
      <w:r>
        <w:rPr>
          <w:color w:val="auto"/>
          <w:highlight w:val="none"/>
        </w:rPr>
        <w:br w:type="page"/>
      </w:r>
      <w:r>
        <w:rPr>
          <w:rFonts w:hint="eastAsia"/>
          <w:color w:val="auto"/>
          <w:highlight w:val="none"/>
          <w:lang w:val="en-US" w:eastAsia="zh-CN"/>
        </w:rPr>
        <w:t xml:space="preserve">                    </w:t>
      </w:r>
      <w:r>
        <w:rPr>
          <w:rStyle w:val="15"/>
          <w:rFonts w:hint="eastAsia" w:ascii="宋体" w:hAnsi="宋体" w:eastAsia="宋体" w:cs="宋体"/>
          <w:color w:val="auto"/>
          <w:sz w:val="31"/>
          <w:szCs w:val="31"/>
          <w:highlight w:val="none"/>
          <w:lang w:val="en-US" w:eastAsia="zh-CN"/>
        </w:rPr>
        <w:t xml:space="preserve">  </w:t>
      </w:r>
      <w:r>
        <w:rPr>
          <w:rStyle w:val="15"/>
          <w:rFonts w:hint="eastAsia" w:ascii="宋体" w:hAnsi="宋体" w:eastAsia="宋体" w:cs="宋体"/>
          <w:color w:val="auto"/>
          <w:sz w:val="31"/>
          <w:szCs w:val="31"/>
          <w:highlight w:val="none"/>
        </w:rPr>
        <w:t>第二章  竞争性磋商须知</w:t>
      </w:r>
      <w:bookmarkEnd w:id="2"/>
      <w:bookmarkEnd w:id="3"/>
    </w:p>
    <w:p>
      <w:pPr>
        <w:pStyle w:val="11"/>
        <w:widowControl/>
        <w:spacing w:before="75" w:beforeAutospacing="0" w:after="75" w:afterAutospacing="0" w:line="435" w:lineRule="atLeast"/>
        <w:jc w:val="center"/>
        <w:rPr>
          <w:color w:val="auto"/>
          <w:highlight w:val="none"/>
        </w:rPr>
      </w:pPr>
      <w:r>
        <w:rPr>
          <w:rStyle w:val="15"/>
          <w:rFonts w:hint="eastAsia" w:ascii="宋体" w:hAnsi="宋体" w:cs="宋体"/>
          <w:color w:val="auto"/>
          <w:sz w:val="31"/>
          <w:szCs w:val="31"/>
          <w:highlight w:val="none"/>
        </w:rPr>
        <w:t>第1节  竞争性磋商须知前附表</w:t>
      </w:r>
    </w:p>
    <w:p>
      <w:pPr>
        <w:pStyle w:val="11"/>
        <w:widowControl/>
        <w:spacing w:before="75" w:beforeAutospacing="0" w:after="75" w:afterAutospacing="0" w:line="435" w:lineRule="atLeast"/>
        <w:ind w:firstLine="480" w:firstLineChars="200"/>
        <w:rPr>
          <w:color w:val="auto"/>
          <w:highlight w:val="none"/>
        </w:rPr>
      </w:pPr>
      <w:r>
        <w:rPr>
          <w:rFonts w:hint="eastAsia" w:ascii="宋体" w:hAnsi="宋体" w:cs="宋体"/>
          <w:color w:val="auto"/>
          <w:highlight w:val="none"/>
        </w:rPr>
        <w:t>竞争性磋商须知前附表是对竞争性磋商须知的补充和细化，二者如有矛盾，以前附表中的要求和规定为准</w:t>
      </w:r>
    </w:p>
    <w:tbl>
      <w:tblPr>
        <w:tblStyle w:val="13"/>
        <w:tblW w:w="0" w:type="auto"/>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7" w:type="dxa"/>
          <w:left w:w="17" w:type="dxa"/>
          <w:bottom w:w="17" w:type="dxa"/>
          <w:right w:w="17" w:type="dxa"/>
        </w:tblCellMar>
      </w:tblPr>
      <w:tblGrid>
        <w:gridCol w:w="721"/>
        <w:gridCol w:w="1040"/>
        <w:gridCol w:w="7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15" w:hRule="atLeast"/>
        </w:trPr>
        <w:tc>
          <w:tcPr>
            <w:tcW w:w="721" w:type="dxa"/>
            <w:noWrap w:val="0"/>
            <w:tcMar>
              <w:top w:w="0" w:type="dxa"/>
              <w:left w:w="105" w:type="dxa"/>
              <w:bottom w:w="0" w:type="dxa"/>
              <w:right w:w="105" w:type="dxa"/>
            </w:tcMar>
            <w:vAlign w:val="top"/>
          </w:tcPr>
          <w:p>
            <w:pPr>
              <w:pStyle w:val="11"/>
              <w:widowControl/>
              <w:spacing w:before="0" w:beforeAutospacing="0" w:after="0" w:afterAutospacing="0" w:line="435" w:lineRule="atLeast"/>
              <w:rPr>
                <w:color w:val="auto"/>
                <w:highlight w:val="none"/>
              </w:rPr>
            </w:pPr>
            <w:r>
              <w:rPr>
                <w:rStyle w:val="15"/>
                <w:rFonts w:hint="eastAsia" w:ascii="宋体" w:hAnsi="宋体" w:cs="宋体"/>
                <w:color w:val="auto"/>
                <w:highlight w:val="none"/>
              </w:rPr>
              <w:t>项号</w:t>
            </w:r>
          </w:p>
        </w:tc>
        <w:tc>
          <w:tcPr>
            <w:tcW w:w="1040" w:type="dxa"/>
            <w:noWrap w:val="0"/>
            <w:tcMar>
              <w:top w:w="0" w:type="dxa"/>
              <w:left w:w="105" w:type="dxa"/>
              <w:bottom w:w="0" w:type="dxa"/>
              <w:right w:w="105" w:type="dxa"/>
            </w:tcMar>
            <w:vAlign w:val="top"/>
          </w:tcPr>
          <w:p>
            <w:pPr>
              <w:pStyle w:val="11"/>
              <w:widowControl/>
              <w:spacing w:before="0" w:beforeAutospacing="0" w:after="0" w:afterAutospacing="0" w:line="435" w:lineRule="atLeast"/>
              <w:rPr>
                <w:color w:val="auto"/>
                <w:highlight w:val="none"/>
              </w:rPr>
            </w:pPr>
            <w:r>
              <w:rPr>
                <w:rStyle w:val="15"/>
                <w:rFonts w:hint="eastAsia" w:ascii="宋体" w:hAnsi="宋体" w:cs="宋体"/>
                <w:color w:val="auto"/>
                <w:highlight w:val="none"/>
              </w:rPr>
              <w:t>条款号</w:t>
            </w:r>
          </w:p>
        </w:tc>
        <w:tc>
          <w:tcPr>
            <w:tcW w:w="7536" w:type="dxa"/>
            <w:noWrap w:val="0"/>
            <w:tcMar>
              <w:top w:w="0" w:type="dxa"/>
              <w:left w:w="105" w:type="dxa"/>
              <w:bottom w:w="0" w:type="dxa"/>
              <w:right w:w="105" w:type="dxa"/>
            </w:tcMar>
            <w:vAlign w:val="top"/>
          </w:tcPr>
          <w:p>
            <w:pPr>
              <w:pStyle w:val="11"/>
              <w:widowControl/>
              <w:spacing w:before="0" w:beforeAutospacing="0" w:after="0" w:afterAutospacing="0" w:line="435" w:lineRule="atLeast"/>
              <w:jc w:val="center"/>
              <w:rPr>
                <w:color w:val="auto"/>
                <w:highlight w:val="none"/>
              </w:rPr>
            </w:pPr>
            <w:r>
              <w:rPr>
                <w:rStyle w:val="15"/>
                <w:rFonts w:hint="eastAsia" w:ascii="宋体" w:hAnsi="宋体" w:cs="宋体"/>
                <w:color w:val="auto"/>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603" w:hRule="atLeast"/>
        </w:trPr>
        <w:tc>
          <w:tcPr>
            <w:tcW w:w="721" w:type="dxa"/>
            <w:noWrap w:val="0"/>
            <w:tcMar>
              <w:top w:w="0" w:type="dxa"/>
              <w:left w:w="105" w:type="dxa"/>
              <w:bottom w:w="0" w:type="dxa"/>
              <w:right w:w="105" w:type="dxa"/>
            </w:tcMar>
            <w:vAlign w:val="center"/>
          </w:tcPr>
          <w:p>
            <w:pPr>
              <w:pStyle w:val="11"/>
              <w:widowControl/>
              <w:spacing w:before="0" w:beforeAutospacing="0" w:after="0" w:afterAutospacing="0" w:line="435" w:lineRule="atLeast"/>
              <w:jc w:val="center"/>
              <w:rPr>
                <w:color w:val="auto"/>
                <w:highlight w:val="none"/>
              </w:rPr>
            </w:pPr>
            <w:r>
              <w:rPr>
                <w:rFonts w:hint="eastAsia" w:ascii="宋体" w:hAnsi="宋体" w:cs="宋体"/>
                <w:color w:val="auto"/>
                <w:highlight w:val="none"/>
              </w:rPr>
              <w:t>1</w:t>
            </w:r>
          </w:p>
        </w:tc>
        <w:tc>
          <w:tcPr>
            <w:tcW w:w="1040" w:type="dxa"/>
            <w:noWrap w:val="0"/>
            <w:tcMar>
              <w:top w:w="0" w:type="dxa"/>
              <w:left w:w="105" w:type="dxa"/>
              <w:bottom w:w="0" w:type="dxa"/>
              <w:right w:w="105" w:type="dxa"/>
            </w:tcMar>
            <w:vAlign w:val="center"/>
          </w:tcPr>
          <w:p>
            <w:pPr>
              <w:pStyle w:val="11"/>
              <w:widowControl/>
              <w:spacing w:before="0" w:beforeAutospacing="0" w:after="0" w:afterAutospacing="0" w:line="435" w:lineRule="atLeast"/>
              <w:rPr>
                <w:color w:val="auto"/>
                <w:highlight w:val="none"/>
              </w:rPr>
            </w:pPr>
            <w:r>
              <w:rPr>
                <w:rFonts w:hint="eastAsia" w:ascii="宋体" w:hAnsi="宋体" w:cs="宋体"/>
                <w:color w:val="auto"/>
                <w:highlight w:val="none"/>
              </w:rPr>
              <w:t>3.2.1</w:t>
            </w:r>
          </w:p>
        </w:tc>
        <w:tc>
          <w:tcPr>
            <w:tcW w:w="7536" w:type="dxa"/>
            <w:noWrap w:val="0"/>
            <w:tcMar>
              <w:top w:w="0" w:type="dxa"/>
              <w:left w:w="105" w:type="dxa"/>
              <w:bottom w:w="0" w:type="dxa"/>
              <w:right w:w="105" w:type="dxa"/>
            </w:tcMar>
            <w:vAlign w:val="center"/>
          </w:tcPr>
          <w:p>
            <w:pPr>
              <w:pStyle w:val="11"/>
              <w:widowControl/>
              <w:spacing w:before="0" w:beforeAutospacing="0" w:after="0" w:afterAutospacing="0" w:line="435" w:lineRule="atLeast"/>
              <w:rPr>
                <w:color w:val="auto"/>
                <w:highlight w:val="none"/>
              </w:rPr>
            </w:pPr>
            <w:r>
              <w:rPr>
                <w:rStyle w:val="15"/>
                <w:rFonts w:hint="eastAsia" w:ascii="宋体" w:hAnsi="宋体" w:cs="宋体"/>
                <w:color w:val="auto"/>
                <w:highlight w:val="none"/>
              </w:rPr>
              <w:t>供应商的资格要求</w:t>
            </w:r>
            <w:r>
              <w:rPr>
                <w:rFonts w:hint="eastAsia" w:ascii="宋体" w:hAnsi="宋体" w:cs="宋体"/>
                <w:color w:val="auto"/>
                <w:highlight w:val="none"/>
              </w:rPr>
              <w:t>：见磋商文件第一章“采购公告/采购邀请书”</w:t>
            </w:r>
          </w:p>
          <w:p>
            <w:pPr>
              <w:pStyle w:val="11"/>
              <w:widowControl/>
              <w:spacing w:before="0" w:beforeAutospacing="0" w:after="0" w:afterAutospacing="0" w:line="435" w:lineRule="atLeast"/>
              <w:rPr>
                <w:color w:val="auto"/>
                <w:highlight w:val="none"/>
              </w:rPr>
            </w:pPr>
            <w:r>
              <w:rPr>
                <w:rFonts w:hint="eastAsia" w:ascii="宋体" w:hAnsi="宋体" w:cs="宋体"/>
                <w:color w:val="auto"/>
                <w:highlight w:val="none"/>
              </w:rPr>
              <w:t>（1）资格证明文件资料要求：</w:t>
            </w:r>
          </w:p>
          <w:tbl>
            <w:tblPr>
              <w:tblStyle w:val="13"/>
              <w:tblW w:w="4941" w:type="pct"/>
              <w:tblInd w:w="-1"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40"/>
              <w:gridCol w:w="1574"/>
              <w:gridCol w:w="502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0" w:type="dxa"/>
                  <w:noWrap w:val="0"/>
                  <w:vAlign w:val="top"/>
                </w:tcPr>
                <w:p>
                  <w:pPr>
                    <w:pStyle w:val="16"/>
                    <w:jc w:val="center"/>
                    <w:rPr>
                      <w:color w:val="auto"/>
                      <w:sz w:val="21"/>
                      <w:szCs w:val="21"/>
                      <w:highlight w:val="none"/>
                    </w:rPr>
                  </w:pPr>
                  <w:r>
                    <w:rPr>
                      <w:b/>
                      <w:color w:val="auto"/>
                      <w:sz w:val="21"/>
                      <w:szCs w:val="21"/>
                      <w:highlight w:val="none"/>
                    </w:rPr>
                    <w:t>序号</w:t>
                  </w:r>
                </w:p>
              </w:tc>
              <w:tc>
                <w:tcPr>
                  <w:tcW w:w="1575" w:type="dxa"/>
                  <w:noWrap w:val="0"/>
                  <w:vAlign w:val="top"/>
                </w:tcPr>
                <w:p>
                  <w:pPr>
                    <w:pStyle w:val="16"/>
                    <w:jc w:val="center"/>
                    <w:rPr>
                      <w:color w:val="auto"/>
                      <w:sz w:val="21"/>
                      <w:szCs w:val="21"/>
                      <w:highlight w:val="none"/>
                    </w:rPr>
                  </w:pPr>
                  <w:r>
                    <w:rPr>
                      <w:b/>
                      <w:color w:val="auto"/>
                      <w:sz w:val="21"/>
                      <w:szCs w:val="21"/>
                      <w:highlight w:val="none"/>
                    </w:rPr>
                    <w:t>资格审查要求概况</w:t>
                  </w:r>
                </w:p>
              </w:tc>
              <w:tc>
                <w:tcPr>
                  <w:tcW w:w="5023" w:type="dxa"/>
                  <w:noWrap w:val="0"/>
                  <w:vAlign w:val="center"/>
                </w:tcPr>
                <w:p>
                  <w:pPr>
                    <w:pStyle w:val="16"/>
                    <w:jc w:val="center"/>
                    <w:rPr>
                      <w:color w:val="auto"/>
                      <w:sz w:val="21"/>
                      <w:szCs w:val="21"/>
                      <w:highlight w:val="none"/>
                    </w:rPr>
                  </w:pPr>
                  <w:r>
                    <w:rPr>
                      <w:b/>
                      <w:color w:val="auto"/>
                      <w:sz w:val="21"/>
                      <w:szCs w:val="21"/>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0" w:type="dxa"/>
                  <w:noWrap w:val="0"/>
                  <w:vAlign w:val="top"/>
                </w:tcPr>
                <w:p>
                  <w:pPr>
                    <w:pStyle w:val="16"/>
                    <w:jc w:val="center"/>
                    <w:rPr>
                      <w:color w:val="auto"/>
                      <w:sz w:val="21"/>
                      <w:szCs w:val="21"/>
                      <w:highlight w:val="none"/>
                    </w:rPr>
                  </w:pPr>
                  <w:r>
                    <w:rPr>
                      <w:b/>
                      <w:color w:val="auto"/>
                      <w:sz w:val="21"/>
                      <w:szCs w:val="21"/>
                      <w:highlight w:val="none"/>
                    </w:rPr>
                    <w:t>1</w:t>
                  </w:r>
                </w:p>
              </w:tc>
              <w:tc>
                <w:tcPr>
                  <w:tcW w:w="1575" w:type="dxa"/>
                  <w:noWrap w:val="0"/>
                  <w:vAlign w:val="center"/>
                </w:tcPr>
                <w:p>
                  <w:pPr>
                    <w:pStyle w:val="16"/>
                    <w:jc w:val="center"/>
                    <w:rPr>
                      <w:color w:val="auto"/>
                      <w:sz w:val="21"/>
                      <w:szCs w:val="21"/>
                      <w:highlight w:val="none"/>
                    </w:rPr>
                  </w:pPr>
                  <w:r>
                    <w:rPr>
                      <w:b/>
                      <w:color w:val="auto"/>
                      <w:sz w:val="21"/>
                      <w:szCs w:val="21"/>
                      <w:highlight w:val="none"/>
                    </w:rPr>
                    <w:t>磋商响应声明</w:t>
                  </w:r>
                </w:p>
              </w:tc>
              <w:tc>
                <w:tcPr>
                  <w:tcW w:w="5023" w:type="dxa"/>
                  <w:noWrap w:val="0"/>
                  <w:vAlign w:val="center"/>
                </w:tcPr>
                <w:p>
                  <w:pPr>
                    <w:pStyle w:val="16"/>
                    <w:jc w:val="center"/>
                    <w:rPr>
                      <w:color w:val="auto"/>
                      <w:sz w:val="21"/>
                      <w:szCs w:val="21"/>
                      <w:highlight w:val="none"/>
                    </w:rPr>
                  </w:pPr>
                  <w:r>
                    <w:rPr>
                      <w:b/>
                      <w:color w:val="auto"/>
                      <w:sz w:val="21"/>
                      <w:szCs w:val="21"/>
                      <w:highlight w:val="none"/>
                    </w:rPr>
                    <w:t>详见声明函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0" w:type="dxa"/>
                  <w:noWrap w:val="0"/>
                  <w:vAlign w:val="top"/>
                </w:tcPr>
                <w:p>
                  <w:pPr>
                    <w:pStyle w:val="16"/>
                    <w:jc w:val="center"/>
                    <w:rPr>
                      <w:color w:val="auto"/>
                      <w:sz w:val="21"/>
                      <w:szCs w:val="21"/>
                      <w:highlight w:val="none"/>
                    </w:rPr>
                  </w:pPr>
                  <w:r>
                    <w:rPr>
                      <w:b/>
                      <w:color w:val="auto"/>
                      <w:sz w:val="21"/>
                      <w:szCs w:val="21"/>
                      <w:highlight w:val="none"/>
                    </w:rPr>
                    <w:t>2</w:t>
                  </w:r>
                </w:p>
              </w:tc>
              <w:tc>
                <w:tcPr>
                  <w:tcW w:w="1575" w:type="dxa"/>
                  <w:noWrap w:val="0"/>
                  <w:vAlign w:val="center"/>
                </w:tcPr>
                <w:p>
                  <w:pPr>
                    <w:pStyle w:val="16"/>
                    <w:jc w:val="center"/>
                    <w:rPr>
                      <w:color w:val="auto"/>
                      <w:sz w:val="21"/>
                      <w:szCs w:val="21"/>
                      <w:highlight w:val="none"/>
                    </w:rPr>
                  </w:pPr>
                  <w:r>
                    <w:rPr>
                      <w:b/>
                      <w:color w:val="auto"/>
                      <w:sz w:val="21"/>
                      <w:szCs w:val="21"/>
                      <w:highlight w:val="none"/>
                    </w:rPr>
                    <w:t>单位负责人授权书</w:t>
                  </w:r>
                </w:p>
              </w:tc>
              <w:tc>
                <w:tcPr>
                  <w:tcW w:w="5023" w:type="dxa"/>
                  <w:noWrap w:val="0"/>
                  <w:vAlign w:val="top"/>
                </w:tcPr>
                <w:p>
                  <w:pPr>
                    <w:pStyle w:val="16"/>
                    <w:rPr>
                      <w:color w:val="auto"/>
                      <w:sz w:val="21"/>
                      <w:szCs w:val="21"/>
                      <w:highlight w:val="none"/>
                    </w:rPr>
                  </w:pPr>
                  <w:r>
                    <w:rPr>
                      <w:b/>
                      <w:color w:val="auto"/>
                      <w:sz w:val="21"/>
                      <w:szCs w:val="21"/>
                      <w:highlight w:val="none"/>
                    </w:rPr>
                    <w:t>①供应商（自然人除外）：若供应商代表为单位授权的委托代理人，应提供本授权书；若供应商代表为单位负责人，应在此项下提交其身份证正反面复印件，可不提供本授权书。②供应商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640" w:type="dxa"/>
                  <w:noWrap w:val="0"/>
                  <w:vAlign w:val="top"/>
                </w:tcPr>
                <w:p>
                  <w:pPr>
                    <w:pStyle w:val="16"/>
                    <w:jc w:val="center"/>
                    <w:rPr>
                      <w:color w:val="auto"/>
                      <w:sz w:val="21"/>
                      <w:szCs w:val="21"/>
                      <w:highlight w:val="none"/>
                    </w:rPr>
                  </w:pPr>
                  <w:r>
                    <w:rPr>
                      <w:b/>
                      <w:color w:val="auto"/>
                      <w:sz w:val="21"/>
                      <w:szCs w:val="21"/>
                      <w:highlight w:val="none"/>
                    </w:rPr>
                    <w:t>3</w:t>
                  </w:r>
                </w:p>
              </w:tc>
              <w:tc>
                <w:tcPr>
                  <w:tcW w:w="1575" w:type="dxa"/>
                  <w:noWrap w:val="0"/>
                  <w:vAlign w:val="center"/>
                </w:tcPr>
                <w:p>
                  <w:pPr>
                    <w:pStyle w:val="16"/>
                    <w:jc w:val="center"/>
                    <w:rPr>
                      <w:color w:val="auto"/>
                      <w:sz w:val="21"/>
                      <w:szCs w:val="21"/>
                      <w:highlight w:val="none"/>
                    </w:rPr>
                  </w:pPr>
                  <w:r>
                    <w:rPr>
                      <w:b/>
                      <w:color w:val="auto"/>
                      <w:sz w:val="21"/>
                      <w:szCs w:val="21"/>
                      <w:highlight w:val="none"/>
                    </w:rPr>
                    <w:t>营业执照等证明文件</w:t>
                  </w:r>
                </w:p>
              </w:tc>
              <w:tc>
                <w:tcPr>
                  <w:tcW w:w="5023" w:type="dxa"/>
                  <w:noWrap w:val="0"/>
                  <w:vAlign w:val="top"/>
                </w:tcPr>
                <w:p>
                  <w:pPr>
                    <w:pStyle w:val="16"/>
                    <w:rPr>
                      <w:color w:val="auto"/>
                      <w:sz w:val="21"/>
                      <w:szCs w:val="21"/>
                      <w:highlight w:val="none"/>
                    </w:rPr>
                  </w:pPr>
                  <w:r>
                    <w:rPr>
                      <w:b/>
                      <w:color w:val="auto"/>
                      <w:sz w:val="21"/>
                      <w:szCs w:val="21"/>
                      <w:highlight w:val="none"/>
                    </w:rPr>
                    <w:t>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0" w:type="dxa"/>
                  <w:noWrap w:val="0"/>
                  <w:vAlign w:val="top"/>
                </w:tcPr>
                <w:p>
                  <w:pPr>
                    <w:pStyle w:val="16"/>
                    <w:jc w:val="center"/>
                    <w:rPr>
                      <w:color w:val="auto"/>
                      <w:sz w:val="21"/>
                      <w:szCs w:val="21"/>
                      <w:highlight w:val="none"/>
                    </w:rPr>
                  </w:pPr>
                  <w:r>
                    <w:rPr>
                      <w:b/>
                      <w:color w:val="auto"/>
                      <w:sz w:val="21"/>
                      <w:szCs w:val="21"/>
                      <w:highlight w:val="none"/>
                    </w:rPr>
                    <w:t>4</w:t>
                  </w:r>
                </w:p>
              </w:tc>
              <w:tc>
                <w:tcPr>
                  <w:tcW w:w="1575" w:type="dxa"/>
                  <w:noWrap w:val="0"/>
                  <w:vAlign w:val="center"/>
                </w:tcPr>
                <w:p>
                  <w:pPr>
                    <w:pStyle w:val="16"/>
                    <w:jc w:val="center"/>
                    <w:rPr>
                      <w:color w:val="auto"/>
                      <w:sz w:val="21"/>
                      <w:szCs w:val="21"/>
                      <w:highlight w:val="none"/>
                    </w:rPr>
                  </w:pPr>
                  <w:r>
                    <w:rPr>
                      <w:b/>
                      <w:color w:val="auto"/>
                      <w:sz w:val="21"/>
                      <w:szCs w:val="21"/>
                      <w:highlight w:val="none"/>
                    </w:rPr>
                    <w:t>提供财务状况报告（财务报告、或资信证明）</w:t>
                  </w:r>
                </w:p>
              </w:tc>
              <w:tc>
                <w:tcPr>
                  <w:tcW w:w="5023" w:type="dxa"/>
                  <w:noWrap w:val="0"/>
                  <w:vAlign w:val="top"/>
                </w:tcPr>
                <w:p>
                  <w:pPr>
                    <w:pStyle w:val="16"/>
                    <w:rPr>
                      <w:color w:val="auto"/>
                      <w:sz w:val="21"/>
                      <w:szCs w:val="21"/>
                      <w:highlight w:val="none"/>
                    </w:rPr>
                  </w:pPr>
                  <w:r>
                    <w:rPr>
                      <w:b/>
                      <w:color w:val="auto"/>
                      <w:sz w:val="21"/>
                      <w:szCs w:val="21"/>
                      <w:highlight w:val="none"/>
                    </w:rPr>
                    <w:t>①供应商提供的财务报告复印件（成立年限按照提交响应文件截止时间推算）应符合下列规定：a.成立年限满1年及以上的供应商，提供经审计的202</w:t>
                  </w:r>
                  <w:r>
                    <w:rPr>
                      <w:rFonts w:hint="eastAsia"/>
                      <w:b/>
                      <w:color w:val="auto"/>
                      <w:sz w:val="21"/>
                      <w:szCs w:val="21"/>
                      <w:highlight w:val="none"/>
                      <w:lang w:val="en-US" w:eastAsia="zh-CN"/>
                    </w:rPr>
                    <w:t>3</w:t>
                  </w:r>
                  <w:r>
                    <w:rPr>
                      <w:b/>
                      <w:color w:val="auto"/>
                      <w:sz w:val="21"/>
                      <w:szCs w:val="21"/>
                      <w:highlight w:val="none"/>
                    </w:rPr>
                    <w:t>年度或202</w:t>
                  </w:r>
                  <w:r>
                    <w:rPr>
                      <w:rFonts w:hint="eastAsia"/>
                      <w:b/>
                      <w:color w:val="auto"/>
                      <w:sz w:val="21"/>
                      <w:szCs w:val="21"/>
                      <w:highlight w:val="none"/>
                      <w:lang w:val="en-US" w:eastAsia="zh-CN"/>
                    </w:rPr>
                    <w:t>4</w:t>
                  </w:r>
                  <w:r>
                    <w:rPr>
                      <w:b/>
                      <w:color w:val="auto"/>
                      <w:sz w:val="21"/>
                      <w:szCs w:val="21"/>
                      <w:highlight w:val="none"/>
                    </w:rPr>
                    <w:t>年度</w:t>
                  </w:r>
                  <w:r>
                    <w:rPr>
                      <w:b/>
                      <w:color w:val="auto"/>
                      <w:sz w:val="21"/>
                      <w:szCs w:val="21"/>
                      <w:highlight w:val="none"/>
                      <w:lang w:eastAsia="zh-CN"/>
                    </w:rPr>
                    <w:t>的</w:t>
                  </w:r>
                  <w:r>
                    <w:rPr>
                      <w:b/>
                      <w:color w:val="auto"/>
                      <w:sz w:val="21"/>
                      <w:szCs w:val="21"/>
                      <w:highlight w:val="none"/>
                    </w:rPr>
                    <w:t>财务报告。b.成立年限满半年但不足1年的供应商，提供该半年度中任一季度的季度财务报告或该半年度的半年度财务报告。c.无法按照以上a、b项规定提供财务报告复印件的供应商（包括但不限于：成立年限满1年及以上的供应商、成立年限满半年但不足1年的供应商、成立年限不足半年的供应商），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0" w:type="dxa"/>
                  <w:noWrap w:val="0"/>
                  <w:vAlign w:val="top"/>
                </w:tcPr>
                <w:p>
                  <w:pPr>
                    <w:pStyle w:val="16"/>
                    <w:jc w:val="center"/>
                    <w:rPr>
                      <w:color w:val="auto"/>
                      <w:sz w:val="21"/>
                      <w:szCs w:val="21"/>
                      <w:highlight w:val="none"/>
                    </w:rPr>
                  </w:pPr>
                  <w:r>
                    <w:rPr>
                      <w:b/>
                      <w:color w:val="auto"/>
                      <w:sz w:val="21"/>
                      <w:szCs w:val="21"/>
                      <w:highlight w:val="none"/>
                    </w:rPr>
                    <w:t>5</w:t>
                  </w:r>
                </w:p>
              </w:tc>
              <w:tc>
                <w:tcPr>
                  <w:tcW w:w="1575" w:type="dxa"/>
                  <w:noWrap w:val="0"/>
                  <w:vAlign w:val="center"/>
                </w:tcPr>
                <w:p>
                  <w:pPr>
                    <w:pStyle w:val="16"/>
                    <w:jc w:val="center"/>
                    <w:rPr>
                      <w:color w:val="auto"/>
                      <w:sz w:val="21"/>
                      <w:szCs w:val="21"/>
                      <w:highlight w:val="none"/>
                    </w:rPr>
                  </w:pPr>
                  <w:r>
                    <w:rPr>
                      <w:b/>
                      <w:color w:val="auto"/>
                      <w:sz w:val="21"/>
                      <w:szCs w:val="21"/>
                      <w:highlight w:val="none"/>
                    </w:rPr>
                    <w:t>依法缴纳税收证明材料</w:t>
                  </w:r>
                </w:p>
              </w:tc>
              <w:tc>
                <w:tcPr>
                  <w:tcW w:w="5023" w:type="dxa"/>
                  <w:noWrap w:val="0"/>
                  <w:vAlign w:val="top"/>
                </w:tcPr>
                <w:p>
                  <w:pPr>
                    <w:pStyle w:val="16"/>
                    <w:rPr>
                      <w:color w:val="auto"/>
                      <w:sz w:val="21"/>
                      <w:szCs w:val="21"/>
                      <w:highlight w:val="none"/>
                    </w:rPr>
                  </w:pPr>
                  <w:r>
                    <w:rPr>
                      <w:b/>
                      <w:color w:val="auto"/>
                      <w:sz w:val="21"/>
                      <w:szCs w:val="21"/>
                      <w:highlight w:val="none"/>
                    </w:rPr>
                    <w:t>①供应商提供的税收缴纳凭据复印件应符合下列规定： a.提交响应文件截止时间前（不含提交响应文件截止时间的当月）已依法缴纳税收的供应商，提供提交响应文件截止时间前六个月（不含提交响应文件截止时间的当月）中任一月份的税收缴纳凭据复印件。 b.提交响应文件截止时间的当月成立的供应商,视同满足本项资格条件要求。 c.若为依法免税范围的供应商，提供依法免税证明材料的，视同满足本项资格条件要求。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0" w:type="dxa"/>
                  <w:noWrap w:val="0"/>
                  <w:vAlign w:val="top"/>
                </w:tcPr>
                <w:p>
                  <w:pPr>
                    <w:pStyle w:val="16"/>
                    <w:jc w:val="center"/>
                    <w:rPr>
                      <w:color w:val="auto"/>
                      <w:sz w:val="21"/>
                      <w:szCs w:val="21"/>
                      <w:highlight w:val="none"/>
                    </w:rPr>
                  </w:pPr>
                  <w:r>
                    <w:rPr>
                      <w:b/>
                      <w:color w:val="auto"/>
                      <w:sz w:val="21"/>
                      <w:szCs w:val="21"/>
                      <w:highlight w:val="none"/>
                    </w:rPr>
                    <w:t>6</w:t>
                  </w:r>
                </w:p>
              </w:tc>
              <w:tc>
                <w:tcPr>
                  <w:tcW w:w="1575" w:type="dxa"/>
                  <w:noWrap w:val="0"/>
                  <w:vAlign w:val="center"/>
                </w:tcPr>
                <w:p>
                  <w:pPr>
                    <w:pStyle w:val="16"/>
                    <w:jc w:val="center"/>
                    <w:rPr>
                      <w:color w:val="auto"/>
                      <w:sz w:val="21"/>
                      <w:szCs w:val="21"/>
                      <w:highlight w:val="none"/>
                    </w:rPr>
                  </w:pPr>
                  <w:r>
                    <w:rPr>
                      <w:b/>
                      <w:color w:val="auto"/>
                      <w:sz w:val="21"/>
                      <w:szCs w:val="21"/>
                      <w:highlight w:val="none"/>
                    </w:rPr>
                    <w:t>依法缴纳社会保障资金证明材料</w:t>
                  </w:r>
                </w:p>
              </w:tc>
              <w:tc>
                <w:tcPr>
                  <w:tcW w:w="5023" w:type="dxa"/>
                  <w:noWrap w:val="0"/>
                  <w:vAlign w:val="top"/>
                </w:tcPr>
                <w:p>
                  <w:pPr>
                    <w:pStyle w:val="16"/>
                    <w:rPr>
                      <w:color w:val="auto"/>
                      <w:sz w:val="21"/>
                      <w:szCs w:val="21"/>
                      <w:highlight w:val="none"/>
                    </w:rPr>
                  </w:pPr>
                  <w:r>
                    <w:rPr>
                      <w:b/>
                      <w:color w:val="auto"/>
                      <w:sz w:val="21"/>
                      <w:szCs w:val="21"/>
                      <w:highlight w:val="none"/>
                    </w:rPr>
                    <w:t>①供应商提供的社会保障资金缴纳凭据复印件应符合下列规定： a.提交响应文件截止时间前（不含提交响应文件截止时间的当月）已依法缴纳社会保障资金的供应商，提供提交响应文件截止时间前六个月（不含提交响应文件截止时间的当月）中任一月份的社会保障资金缴纳凭据复印件。 b.提交响应文件截止时间的当月成立的供应商，视同满足本项资格条件要求。 c.若为依法不需要缴纳或暂缓缴纳社会保障资金的供应商，提供依法不需要缴纳或暂缓缴纳社会保障资金证明材料的，视同满足本项资格条件要求。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640" w:type="dxa"/>
                  <w:noWrap w:val="0"/>
                  <w:vAlign w:val="top"/>
                </w:tcPr>
                <w:p>
                  <w:pPr>
                    <w:pStyle w:val="16"/>
                    <w:jc w:val="center"/>
                    <w:rPr>
                      <w:color w:val="auto"/>
                      <w:sz w:val="21"/>
                      <w:szCs w:val="21"/>
                      <w:highlight w:val="none"/>
                    </w:rPr>
                  </w:pPr>
                  <w:r>
                    <w:rPr>
                      <w:b/>
                      <w:color w:val="auto"/>
                      <w:sz w:val="21"/>
                      <w:szCs w:val="21"/>
                      <w:highlight w:val="none"/>
                    </w:rPr>
                    <w:t>7</w:t>
                  </w:r>
                </w:p>
              </w:tc>
              <w:tc>
                <w:tcPr>
                  <w:tcW w:w="1575" w:type="dxa"/>
                  <w:noWrap w:val="0"/>
                  <w:vAlign w:val="center"/>
                </w:tcPr>
                <w:p>
                  <w:pPr>
                    <w:pStyle w:val="16"/>
                    <w:jc w:val="center"/>
                    <w:rPr>
                      <w:color w:val="auto"/>
                      <w:sz w:val="21"/>
                      <w:szCs w:val="21"/>
                      <w:highlight w:val="none"/>
                    </w:rPr>
                  </w:pPr>
                  <w:r>
                    <w:rPr>
                      <w:b/>
                      <w:color w:val="auto"/>
                      <w:sz w:val="21"/>
                      <w:szCs w:val="21"/>
                      <w:highlight w:val="none"/>
                    </w:rPr>
                    <w:t>具备履行合同所必需设备和专业技术能力的声明函(若有)</w:t>
                  </w:r>
                </w:p>
              </w:tc>
              <w:tc>
                <w:tcPr>
                  <w:tcW w:w="5023" w:type="dxa"/>
                  <w:noWrap w:val="0"/>
                  <w:vAlign w:val="top"/>
                </w:tcPr>
                <w:p>
                  <w:pPr>
                    <w:pStyle w:val="16"/>
                    <w:rPr>
                      <w:color w:val="auto"/>
                      <w:sz w:val="21"/>
                      <w:szCs w:val="21"/>
                      <w:highlight w:val="none"/>
                    </w:rPr>
                  </w:pPr>
                  <w:r>
                    <w:rPr>
                      <w:b/>
                      <w:color w:val="auto"/>
                      <w:sz w:val="21"/>
                      <w:szCs w:val="21"/>
                      <w:highlight w:val="none"/>
                    </w:rPr>
                    <w:t>①采购文件未要求供应商提供“具备履行合同所必需的设备和专业技术能力专项证明材料”的，供应商应提供本声明函。②采购文件要求供应商提供“具备履行合同所必需的设备和专业技术能力专项证明材料”的，供应商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0" w:type="dxa"/>
                  <w:noWrap w:val="0"/>
                  <w:vAlign w:val="top"/>
                </w:tcPr>
                <w:p>
                  <w:pPr>
                    <w:pStyle w:val="16"/>
                    <w:jc w:val="center"/>
                    <w:rPr>
                      <w:color w:val="auto"/>
                      <w:sz w:val="21"/>
                      <w:szCs w:val="21"/>
                      <w:highlight w:val="none"/>
                    </w:rPr>
                  </w:pPr>
                  <w:r>
                    <w:rPr>
                      <w:b/>
                      <w:color w:val="auto"/>
                      <w:sz w:val="21"/>
                      <w:szCs w:val="21"/>
                      <w:highlight w:val="none"/>
                    </w:rPr>
                    <w:t>8</w:t>
                  </w:r>
                </w:p>
              </w:tc>
              <w:tc>
                <w:tcPr>
                  <w:tcW w:w="1575" w:type="dxa"/>
                  <w:noWrap w:val="0"/>
                  <w:vAlign w:val="center"/>
                </w:tcPr>
                <w:p>
                  <w:pPr>
                    <w:pStyle w:val="16"/>
                    <w:jc w:val="center"/>
                    <w:rPr>
                      <w:color w:val="auto"/>
                      <w:sz w:val="21"/>
                      <w:szCs w:val="21"/>
                      <w:highlight w:val="none"/>
                    </w:rPr>
                  </w:pPr>
                  <w:r>
                    <w:rPr>
                      <w:b/>
                      <w:color w:val="auto"/>
                      <w:sz w:val="21"/>
                      <w:szCs w:val="21"/>
                      <w:highlight w:val="none"/>
                    </w:rPr>
                    <w:t>参加采购活动前三年内在经营活动中没有重大违法记录的声明</w:t>
                  </w:r>
                </w:p>
              </w:tc>
              <w:tc>
                <w:tcPr>
                  <w:tcW w:w="5023" w:type="dxa"/>
                  <w:noWrap w:val="0"/>
                  <w:vAlign w:val="top"/>
                </w:tcPr>
                <w:p>
                  <w:pPr>
                    <w:pStyle w:val="16"/>
                    <w:rPr>
                      <w:color w:val="auto"/>
                      <w:sz w:val="21"/>
                      <w:szCs w:val="21"/>
                      <w:highlight w:val="none"/>
                    </w:rPr>
                  </w:pPr>
                  <w:r>
                    <w:rPr>
                      <w:b/>
                      <w:color w:val="auto"/>
                      <w:sz w:val="21"/>
                      <w:szCs w:val="21"/>
                      <w:highlight w:val="none"/>
                    </w:rPr>
                    <w:t>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0" w:type="dxa"/>
                  <w:noWrap w:val="0"/>
                  <w:vAlign w:val="top"/>
                </w:tcPr>
                <w:p>
                  <w:pPr>
                    <w:pStyle w:val="16"/>
                    <w:jc w:val="center"/>
                    <w:rPr>
                      <w:color w:val="auto"/>
                      <w:sz w:val="21"/>
                      <w:szCs w:val="21"/>
                      <w:highlight w:val="none"/>
                      <w:lang w:eastAsia="zh-CN"/>
                    </w:rPr>
                  </w:pPr>
                  <w:r>
                    <w:rPr>
                      <w:b/>
                      <w:color w:val="auto"/>
                      <w:sz w:val="21"/>
                      <w:szCs w:val="21"/>
                      <w:highlight w:val="none"/>
                      <w:lang w:eastAsia="zh-CN"/>
                    </w:rPr>
                    <w:t>9</w:t>
                  </w:r>
                </w:p>
              </w:tc>
              <w:tc>
                <w:tcPr>
                  <w:tcW w:w="1575" w:type="dxa"/>
                  <w:noWrap w:val="0"/>
                  <w:vAlign w:val="center"/>
                </w:tcPr>
                <w:p>
                  <w:pPr>
                    <w:pStyle w:val="16"/>
                    <w:jc w:val="center"/>
                    <w:rPr>
                      <w:color w:val="auto"/>
                      <w:sz w:val="21"/>
                      <w:szCs w:val="21"/>
                      <w:highlight w:val="none"/>
                    </w:rPr>
                  </w:pPr>
                  <w:r>
                    <w:rPr>
                      <w:b/>
                      <w:color w:val="auto"/>
                      <w:sz w:val="21"/>
                      <w:szCs w:val="21"/>
                      <w:highlight w:val="none"/>
                    </w:rPr>
                    <w:t>信用记录查询结果</w:t>
                  </w:r>
                </w:p>
              </w:tc>
              <w:tc>
                <w:tcPr>
                  <w:tcW w:w="5023" w:type="dxa"/>
                  <w:noWrap w:val="0"/>
                  <w:vAlign w:val="top"/>
                </w:tcPr>
                <w:p>
                  <w:pPr>
                    <w:pStyle w:val="16"/>
                    <w:rPr>
                      <w:color w:val="auto"/>
                      <w:sz w:val="21"/>
                      <w:szCs w:val="21"/>
                      <w:highlight w:val="none"/>
                    </w:rPr>
                  </w:pPr>
                  <w:r>
                    <w:rPr>
                      <w:b/>
                      <w:color w:val="auto"/>
                      <w:sz w:val="21"/>
                      <w:szCs w:val="21"/>
                      <w:highlight w:val="none"/>
                    </w:rPr>
                    <w:t>①信用记录查询的截止时点：信用记录查询的截止时点为本项目提交响应文件截止当日。②信用记录查询渠道：信用中国（www.creditchina.gov.cn）、中国政府采购网（www.ccgp.gov.cn）。③信用记录的查询：由磋商小组通过上述网站查询并打印供应商的信用记录。④经查询，供应商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0" w:type="dxa"/>
                  <w:noWrap w:val="0"/>
                  <w:vAlign w:val="top"/>
                </w:tcPr>
                <w:p>
                  <w:pPr>
                    <w:pStyle w:val="16"/>
                    <w:jc w:val="center"/>
                    <w:rPr>
                      <w:color w:val="auto"/>
                      <w:sz w:val="21"/>
                      <w:szCs w:val="21"/>
                      <w:highlight w:val="none"/>
                      <w:lang w:eastAsia="zh-CN"/>
                    </w:rPr>
                  </w:pPr>
                  <w:r>
                    <w:rPr>
                      <w:b/>
                      <w:color w:val="auto"/>
                      <w:sz w:val="21"/>
                      <w:szCs w:val="21"/>
                      <w:highlight w:val="none"/>
                    </w:rPr>
                    <w:t>1</w:t>
                  </w:r>
                  <w:r>
                    <w:rPr>
                      <w:b/>
                      <w:color w:val="auto"/>
                      <w:sz w:val="21"/>
                      <w:szCs w:val="21"/>
                      <w:highlight w:val="none"/>
                      <w:lang w:eastAsia="zh-CN"/>
                    </w:rPr>
                    <w:t>0</w:t>
                  </w:r>
                </w:p>
              </w:tc>
              <w:tc>
                <w:tcPr>
                  <w:tcW w:w="1575" w:type="dxa"/>
                  <w:noWrap w:val="0"/>
                  <w:vAlign w:val="center"/>
                </w:tcPr>
                <w:p>
                  <w:pPr>
                    <w:pStyle w:val="16"/>
                    <w:jc w:val="center"/>
                    <w:rPr>
                      <w:color w:val="auto"/>
                      <w:sz w:val="21"/>
                      <w:szCs w:val="21"/>
                      <w:highlight w:val="none"/>
                    </w:rPr>
                  </w:pPr>
                  <w:r>
                    <w:rPr>
                      <w:b/>
                      <w:color w:val="auto"/>
                      <w:sz w:val="21"/>
                      <w:szCs w:val="21"/>
                      <w:highlight w:val="none"/>
                    </w:rPr>
                    <w:t>联合体协议（若有）</w:t>
                  </w:r>
                </w:p>
              </w:tc>
              <w:tc>
                <w:tcPr>
                  <w:tcW w:w="5023" w:type="dxa"/>
                  <w:noWrap w:val="0"/>
                  <w:vAlign w:val="top"/>
                </w:tcPr>
                <w:p>
                  <w:pPr>
                    <w:pStyle w:val="16"/>
                    <w:rPr>
                      <w:color w:val="auto"/>
                      <w:sz w:val="21"/>
                      <w:szCs w:val="21"/>
                      <w:highlight w:val="none"/>
                    </w:rPr>
                  </w:pPr>
                  <w:r>
                    <w:rPr>
                      <w:b/>
                      <w:color w:val="auto"/>
                      <w:sz w:val="21"/>
                      <w:szCs w:val="21"/>
                      <w:highlight w:val="none"/>
                    </w:rPr>
                    <w:t>①采购文件接受联合体报价且供应商为联合体的，供应商应提供本协议；否则无须提供。②本协议由委托代理人签字或盖章的，应按照采购文件第五章载明的格式提供“单位负责人授权书”。</w:t>
                  </w:r>
                </w:p>
              </w:tc>
            </w:tr>
          </w:tbl>
          <w:p>
            <w:pPr>
              <w:pStyle w:val="11"/>
              <w:widowControl/>
              <w:spacing w:before="0" w:beforeAutospacing="0" w:after="0" w:afterAutospacing="0" w:line="435" w:lineRule="atLeast"/>
              <w:rPr>
                <w:rFonts w:hint="eastAsia" w:ascii="宋体" w:hAnsi="宋体" w:cs="宋体"/>
                <w:b/>
                <w:bCs/>
                <w:color w:val="auto"/>
                <w:highlight w:val="none"/>
              </w:rPr>
            </w:pPr>
            <w:r>
              <w:rPr>
                <w:rFonts w:hint="eastAsia" w:ascii="宋体" w:hAnsi="宋体" w:cs="宋体"/>
                <w:b/>
                <w:bCs/>
                <w:color w:val="auto"/>
                <w:highlight w:val="none"/>
              </w:rPr>
              <w:t>（2）特定资格条件：</w:t>
            </w:r>
          </w:p>
          <w:tbl>
            <w:tblPr>
              <w:tblStyle w:val="13"/>
              <w:tblW w:w="0" w:type="auto"/>
              <w:tblInd w:w="-1"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17"/>
              <w:gridCol w:w="510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17" w:type="dxa"/>
                  <w:noWrap w:val="0"/>
                  <w:vAlign w:val="top"/>
                </w:tcPr>
                <w:p>
                  <w:pPr>
                    <w:pStyle w:val="16"/>
                    <w:rPr>
                      <w:b/>
                      <w:bCs/>
                      <w:color w:val="auto"/>
                      <w:sz w:val="21"/>
                      <w:szCs w:val="21"/>
                      <w:highlight w:val="none"/>
                    </w:rPr>
                  </w:pPr>
                  <w:r>
                    <w:rPr>
                      <w:b/>
                      <w:bCs/>
                      <w:color w:val="auto"/>
                      <w:sz w:val="21"/>
                      <w:szCs w:val="21"/>
                      <w:highlight w:val="none"/>
                    </w:rPr>
                    <w:t>资格审查要求概况</w:t>
                  </w:r>
                </w:p>
              </w:tc>
              <w:tc>
                <w:tcPr>
                  <w:tcW w:w="5104" w:type="dxa"/>
                  <w:noWrap w:val="0"/>
                  <w:vAlign w:val="top"/>
                </w:tcPr>
                <w:p>
                  <w:pPr>
                    <w:pStyle w:val="16"/>
                    <w:rPr>
                      <w:b/>
                      <w:bCs/>
                      <w:color w:val="auto"/>
                      <w:sz w:val="21"/>
                      <w:szCs w:val="21"/>
                      <w:highlight w:val="none"/>
                    </w:rPr>
                  </w:pPr>
                  <w:r>
                    <w:rPr>
                      <w:b/>
                      <w:bCs/>
                      <w:color w:val="auto"/>
                      <w:sz w:val="21"/>
                      <w:szCs w:val="21"/>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98" w:hRule="atLeast"/>
              </w:trPr>
              <w:tc>
                <w:tcPr>
                  <w:tcW w:w="2217" w:type="dxa"/>
                  <w:noWrap w:val="0"/>
                  <w:vAlign w:val="top"/>
                </w:tcPr>
                <w:p>
                  <w:pPr>
                    <w:pStyle w:val="16"/>
                    <w:rPr>
                      <w:rFonts w:eastAsia="宋体" w:cs="Times New Roman"/>
                      <w:b/>
                      <w:color w:val="auto"/>
                      <w:sz w:val="21"/>
                      <w:szCs w:val="21"/>
                      <w:highlight w:val="none"/>
                      <w:lang w:eastAsia="zh-CN"/>
                    </w:rPr>
                  </w:pPr>
                  <w:r>
                    <w:rPr>
                      <w:rFonts w:eastAsia="宋体" w:cs="Times New Roman"/>
                      <w:b/>
                      <w:color w:val="auto"/>
                      <w:sz w:val="21"/>
                      <w:szCs w:val="21"/>
                      <w:highlight w:val="none"/>
                    </w:rPr>
                    <w:t>资格承诺函</w:t>
                  </w:r>
                </w:p>
              </w:tc>
              <w:tc>
                <w:tcPr>
                  <w:tcW w:w="5104" w:type="dxa"/>
                  <w:noWrap w:val="0"/>
                  <w:vAlign w:val="top"/>
                </w:tcPr>
                <w:p>
                  <w:pPr>
                    <w:pStyle w:val="16"/>
                    <w:rPr>
                      <w:rFonts w:eastAsia="宋体" w:cs="Times New Roman"/>
                      <w:b/>
                      <w:color w:val="auto"/>
                      <w:sz w:val="21"/>
                      <w:szCs w:val="21"/>
                      <w:highlight w:val="none"/>
                    </w:rPr>
                  </w:pPr>
                  <w:r>
                    <w:rPr>
                      <w:rFonts w:eastAsia="宋体" w:cs="Times New Roman"/>
                      <w:b/>
                      <w:color w:val="auto"/>
                      <w:sz w:val="21"/>
                      <w:szCs w:val="21"/>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98" w:hRule="atLeast"/>
              </w:trPr>
              <w:tc>
                <w:tcPr>
                  <w:tcW w:w="2217" w:type="dxa"/>
                  <w:noWrap w:val="0"/>
                  <w:vAlign w:val="top"/>
                </w:tcPr>
                <w:p>
                  <w:pPr>
                    <w:pStyle w:val="16"/>
                    <w:rPr>
                      <w:rFonts w:eastAsia="宋体" w:cs="Times New Roman"/>
                      <w:b/>
                      <w:color w:val="auto"/>
                      <w:sz w:val="21"/>
                      <w:szCs w:val="21"/>
                      <w:highlight w:val="none"/>
                    </w:rPr>
                  </w:pPr>
                  <w:r>
                    <w:rPr>
                      <w:rFonts w:hint="eastAsia" w:eastAsia="宋体" w:cs="Times New Roman"/>
                      <w:b/>
                      <w:color w:val="auto"/>
                      <w:sz w:val="21"/>
                      <w:szCs w:val="21"/>
                      <w:highlight w:val="none"/>
                      <w:lang w:val="en-US" w:eastAsia="zh-CN"/>
                    </w:rPr>
                    <w:t>投标人资格</w:t>
                  </w:r>
                </w:p>
              </w:tc>
              <w:tc>
                <w:tcPr>
                  <w:tcW w:w="5104" w:type="dxa"/>
                  <w:noWrap w:val="0"/>
                  <w:vAlign w:val="top"/>
                </w:tcPr>
                <w:p>
                  <w:pPr>
                    <w:pStyle w:val="16"/>
                    <w:rPr>
                      <w:rFonts w:eastAsia="宋体" w:cs="Times New Roman"/>
                      <w:b/>
                      <w:color w:val="auto"/>
                      <w:sz w:val="21"/>
                      <w:szCs w:val="21"/>
                      <w:highlight w:val="none"/>
                    </w:rPr>
                  </w:pPr>
                  <w:r>
                    <w:rPr>
                      <w:rFonts w:hint="eastAsia" w:eastAsia="宋体" w:cs="Times New Roman"/>
                      <w:b/>
                      <w:color w:val="auto"/>
                      <w:sz w:val="21"/>
                      <w:szCs w:val="21"/>
                      <w:highlight w:val="none"/>
                      <w:lang w:val="en-US" w:eastAsia="zh-CN"/>
                    </w:rPr>
                    <w:t>供应商须具备有效的不低于二级建筑装修装饰工程专业资质和《施工企业安全生产许可证》。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98" w:hRule="atLeast"/>
              </w:trPr>
              <w:tc>
                <w:tcPr>
                  <w:tcW w:w="2217" w:type="dxa"/>
                  <w:noWrap w:val="0"/>
                  <w:vAlign w:val="top"/>
                </w:tcPr>
                <w:p>
                  <w:pPr>
                    <w:pStyle w:val="16"/>
                    <w:rPr>
                      <w:rFonts w:eastAsia="宋体" w:cs="Times New Roman"/>
                      <w:b/>
                      <w:color w:val="auto"/>
                      <w:sz w:val="21"/>
                      <w:szCs w:val="21"/>
                      <w:highlight w:val="none"/>
                    </w:rPr>
                  </w:pPr>
                  <w:r>
                    <w:rPr>
                      <w:rFonts w:hint="eastAsia" w:eastAsia="宋体" w:cs="Times New Roman"/>
                      <w:b/>
                      <w:color w:val="auto"/>
                      <w:sz w:val="21"/>
                      <w:szCs w:val="21"/>
                      <w:highlight w:val="none"/>
                      <w:lang w:val="en-US" w:eastAsia="zh-CN"/>
                    </w:rPr>
                    <w:t>人员要求</w:t>
                  </w:r>
                </w:p>
              </w:tc>
              <w:tc>
                <w:tcPr>
                  <w:tcW w:w="5104" w:type="dxa"/>
                  <w:noWrap w:val="0"/>
                  <w:vAlign w:val="top"/>
                </w:tcPr>
                <w:p>
                  <w:pPr>
                    <w:pStyle w:val="16"/>
                    <w:rPr>
                      <w:rFonts w:eastAsia="宋体" w:cs="Times New Roman"/>
                      <w:b/>
                      <w:color w:val="auto"/>
                      <w:sz w:val="21"/>
                      <w:szCs w:val="21"/>
                      <w:highlight w:val="none"/>
                    </w:rPr>
                  </w:pPr>
                  <w:r>
                    <w:rPr>
                      <w:rFonts w:hint="eastAsia" w:eastAsia="宋体" w:cs="Times New Roman"/>
                      <w:b/>
                      <w:color w:val="auto"/>
                      <w:sz w:val="21"/>
                      <w:szCs w:val="21"/>
                      <w:highlight w:val="none"/>
                      <w:lang w:val="en-US" w:eastAsia="zh-CN"/>
                    </w:rPr>
                    <w:t>供应商拟担任本招标项目的项目负责人（即项目经理，下同）须具备有效的不低于二级建筑工程 专业注册建造师执业资格，并具备有效的安全生产考核合格证书（B证）。</w:t>
                  </w:r>
                </w:p>
              </w:tc>
            </w:tr>
          </w:tbl>
          <w:p>
            <w:pPr>
              <w:pStyle w:val="11"/>
              <w:widowControl/>
              <w:numPr>
                <w:ilvl w:val="0"/>
                <w:numId w:val="1"/>
              </w:numPr>
              <w:spacing w:before="0" w:beforeAutospacing="0" w:after="0" w:afterAutospacing="0" w:line="435" w:lineRule="atLeast"/>
              <w:rPr>
                <w:rFonts w:hint="eastAsia" w:ascii="宋体" w:hAnsi="宋体" w:cs="宋体"/>
                <w:b/>
                <w:bCs/>
                <w:color w:val="auto"/>
                <w:highlight w:val="none"/>
                <w:lang w:val="en-US" w:eastAsia="zh-CN"/>
              </w:rPr>
            </w:pPr>
            <w:r>
              <w:rPr>
                <w:rFonts w:hint="eastAsia" w:ascii="宋体" w:hAnsi="宋体" w:cs="宋体"/>
                <w:b/>
                <w:bCs/>
                <w:color w:val="auto"/>
                <w:highlight w:val="none"/>
              </w:rPr>
              <w:t>磋商保证金</w:t>
            </w:r>
            <w:r>
              <w:rPr>
                <w:rFonts w:hint="eastAsia" w:ascii="宋体" w:hAnsi="宋体" w:cs="宋体"/>
                <w:b/>
                <w:bCs/>
                <w:color w:val="auto"/>
                <w:highlight w:val="none"/>
                <w:lang w:eastAsia="zh-CN"/>
              </w:rPr>
              <w:t>：</w:t>
            </w:r>
            <w:r>
              <w:rPr>
                <w:rFonts w:hint="eastAsia" w:ascii="宋体" w:hAnsi="宋体" w:cs="宋体"/>
                <w:b/>
                <w:bCs/>
                <w:color w:val="auto"/>
                <w:highlight w:val="none"/>
                <w:lang w:val="en-US" w:eastAsia="zh-CN"/>
              </w:rPr>
              <w:t>/。</w:t>
            </w:r>
          </w:p>
          <w:p>
            <w:pPr>
              <w:pStyle w:val="11"/>
              <w:widowControl/>
              <w:numPr>
                <w:ilvl w:val="0"/>
                <w:numId w:val="1"/>
              </w:numPr>
              <w:spacing w:before="0" w:beforeAutospacing="0" w:after="0" w:afterAutospacing="0" w:line="435"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※备注说明</w:t>
            </w:r>
          </w:p>
          <w:p>
            <w:pPr>
              <w:pStyle w:val="11"/>
              <w:widowControl/>
              <w:spacing w:before="0" w:beforeAutospacing="0" w:after="0" w:afterAutospacing="0" w:line="435"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①供应商应根据自身实际情况提供上述资格要求的证明材料，格式可参考磋商文件第五章提供。</w:t>
            </w:r>
          </w:p>
          <w:p>
            <w:pPr>
              <w:pStyle w:val="11"/>
              <w:widowControl/>
              <w:spacing w:before="0" w:beforeAutospacing="0" w:after="0" w:afterAutospacing="0" w:line="435" w:lineRule="atLeast"/>
              <w:rPr>
                <w:rStyle w:val="15"/>
                <w:rFonts w:hint="eastAsia" w:ascii="宋体" w:hAnsi="宋体" w:cs="宋体"/>
                <w:color w:val="auto"/>
                <w:sz w:val="21"/>
                <w:szCs w:val="21"/>
                <w:highlight w:val="none"/>
                <w:shd w:val="clear" w:color="auto" w:fill="FFFFFF"/>
              </w:rPr>
            </w:pPr>
            <w:r>
              <w:rPr>
                <w:rFonts w:hint="eastAsia" w:ascii="宋体" w:hAnsi="宋体" w:cs="宋体"/>
                <w:color w:val="auto"/>
                <w:sz w:val="21"/>
                <w:szCs w:val="21"/>
                <w:highlight w:val="none"/>
              </w:rPr>
              <w:t>②供应商提供的相应证明材料复印件均应符合：内容完整、清晰、整洁，并由供应商加盖其单位公章</w:t>
            </w:r>
            <w:r>
              <w:rPr>
                <w:b/>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75" w:hRule="atLeast"/>
        </w:trPr>
        <w:tc>
          <w:tcPr>
            <w:tcW w:w="721" w:type="dxa"/>
            <w:noWrap w:val="0"/>
            <w:tcMar>
              <w:top w:w="0" w:type="dxa"/>
              <w:left w:w="105" w:type="dxa"/>
              <w:bottom w:w="0" w:type="dxa"/>
              <w:right w:w="105" w:type="dxa"/>
            </w:tcMar>
            <w:vAlign w:val="center"/>
          </w:tcPr>
          <w:p>
            <w:pPr>
              <w:pStyle w:val="11"/>
              <w:widowControl/>
              <w:spacing w:before="0" w:beforeAutospacing="0" w:after="0" w:afterAutospacing="0" w:line="435" w:lineRule="atLeast"/>
              <w:jc w:val="center"/>
              <w:rPr>
                <w:color w:val="auto"/>
                <w:highlight w:val="none"/>
              </w:rPr>
            </w:pPr>
            <w:r>
              <w:rPr>
                <w:rFonts w:hint="eastAsia" w:ascii="宋体" w:hAnsi="宋体" w:cs="宋体"/>
                <w:color w:val="auto"/>
                <w:highlight w:val="none"/>
              </w:rPr>
              <w:t>2</w:t>
            </w:r>
          </w:p>
        </w:tc>
        <w:tc>
          <w:tcPr>
            <w:tcW w:w="1040" w:type="dxa"/>
            <w:noWrap w:val="0"/>
            <w:tcMar>
              <w:top w:w="0" w:type="dxa"/>
              <w:left w:w="105" w:type="dxa"/>
              <w:bottom w:w="0" w:type="dxa"/>
              <w:right w:w="105" w:type="dxa"/>
            </w:tcMar>
            <w:vAlign w:val="center"/>
          </w:tcPr>
          <w:p>
            <w:pPr>
              <w:pStyle w:val="11"/>
              <w:widowControl/>
              <w:spacing w:before="0" w:beforeAutospacing="0" w:after="0" w:afterAutospacing="0" w:line="435" w:lineRule="atLeast"/>
              <w:rPr>
                <w:color w:val="auto"/>
                <w:highlight w:val="none"/>
              </w:rPr>
            </w:pPr>
            <w:r>
              <w:rPr>
                <w:rFonts w:hint="eastAsia" w:ascii="宋体" w:hAnsi="宋体" w:cs="宋体"/>
                <w:color w:val="auto"/>
                <w:highlight w:val="none"/>
              </w:rPr>
              <w:t>3.2.2</w:t>
            </w:r>
          </w:p>
        </w:tc>
        <w:tc>
          <w:tcPr>
            <w:tcW w:w="7536" w:type="dxa"/>
            <w:noWrap w:val="0"/>
            <w:tcMar>
              <w:top w:w="0" w:type="dxa"/>
              <w:left w:w="105" w:type="dxa"/>
              <w:bottom w:w="0" w:type="dxa"/>
              <w:right w:w="105" w:type="dxa"/>
            </w:tcMar>
            <w:vAlign w:val="center"/>
          </w:tcPr>
          <w:p>
            <w:pPr>
              <w:pStyle w:val="11"/>
              <w:widowControl/>
              <w:spacing w:before="0" w:beforeAutospacing="0" w:after="0" w:afterAutospacing="0" w:line="435" w:lineRule="atLeast"/>
              <w:rPr>
                <w:color w:val="auto"/>
                <w:highlight w:val="none"/>
              </w:rPr>
            </w:pPr>
            <w:r>
              <w:rPr>
                <w:rStyle w:val="15"/>
                <w:rFonts w:hint="eastAsia" w:ascii="宋体" w:hAnsi="宋体" w:cs="宋体"/>
                <w:color w:val="auto"/>
                <w:highlight w:val="none"/>
              </w:rPr>
              <w:t>是否接受联合体形式的响应磋商：</w:t>
            </w:r>
            <w:r>
              <w:rPr>
                <w:rFonts w:hint="eastAsia" w:ascii="宋体" w:hAnsi="宋体" w:cs="宋体"/>
                <w:color w:val="auto"/>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468" w:hRule="atLeast"/>
        </w:trPr>
        <w:tc>
          <w:tcPr>
            <w:tcW w:w="721" w:type="dxa"/>
            <w:noWrap w:val="0"/>
            <w:tcMar>
              <w:top w:w="0" w:type="dxa"/>
              <w:left w:w="105" w:type="dxa"/>
              <w:bottom w:w="0" w:type="dxa"/>
              <w:right w:w="105" w:type="dxa"/>
            </w:tcMar>
            <w:vAlign w:val="center"/>
          </w:tcPr>
          <w:p>
            <w:pPr>
              <w:pStyle w:val="11"/>
              <w:widowControl/>
              <w:spacing w:before="0" w:beforeAutospacing="0" w:after="0" w:afterAutospacing="0" w:line="435" w:lineRule="atLeast"/>
              <w:jc w:val="center"/>
              <w:rPr>
                <w:color w:val="auto"/>
                <w:highlight w:val="none"/>
              </w:rPr>
            </w:pPr>
            <w:r>
              <w:rPr>
                <w:rFonts w:hint="eastAsia" w:ascii="宋体" w:hAnsi="宋体" w:cs="宋体"/>
                <w:color w:val="auto"/>
                <w:highlight w:val="none"/>
              </w:rPr>
              <w:t>3</w:t>
            </w:r>
          </w:p>
        </w:tc>
        <w:tc>
          <w:tcPr>
            <w:tcW w:w="1040" w:type="dxa"/>
            <w:noWrap w:val="0"/>
            <w:tcMar>
              <w:top w:w="0" w:type="dxa"/>
              <w:left w:w="105" w:type="dxa"/>
              <w:bottom w:w="0" w:type="dxa"/>
              <w:right w:w="105" w:type="dxa"/>
            </w:tcMar>
            <w:vAlign w:val="center"/>
          </w:tcPr>
          <w:p>
            <w:pPr>
              <w:pStyle w:val="11"/>
              <w:widowControl/>
              <w:spacing w:before="0" w:beforeAutospacing="0" w:after="0" w:afterAutospacing="0" w:line="435" w:lineRule="atLeast"/>
              <w:rPr>
                <w:color w:val="auto"/>
                <w:highlight w:val="none"/>
              </w:rPr>
            </w:pPr>
            <w:r>
              <w:rPr>
                <w:rFonts w:hint="eastAsia" w:ascii="宋体" w:hAnsi="宋体" w:cs="宋体"/>
                <w:color w:val="auto"/>
                <w:highlight w:val="none"/>
              </w:rPr>
              <w:t>6.3</w:t>
            </w:r>
          </w:p>
        </w:tc>
        <w:tc>
          <w:tcPr>
            <w:tcW w:w="7536" w:type="dxa"/>
            <w:noWrap w:val="0"/>
            <w:tcMar>
              <w:top w:w="0" w:type="dxa"/>
              <w:left w:w="105" w:type="dxa"/>
              <w:bottom w:w="0" w:type="dxa"/>
              <w:right w:w="105" w:type="dxa"/>
            </w:tcMar>
            <w:vAlign w:val="center"/>
          </w:tcPr>
          <w:p>
            <w:pPr>
              <w:pStyle w:val="11"/>
              <w:widowControl/>
              <w:spacing w:before="0" w:beforeAutospacing="0" w:after="0" w:afterAutospacing="0" w:line="435" w:lineRule="atLeast"/>
              <w:rPr>
                <w:color w:val="auto"/>
                <w:highlight w:val="none"/>
              </w:rPr>
            </w:pPr>
            <w:r>
              <w:rPr>
                <w:rStyle w:val="15"/>
                <w:rFonts w:hint="eastAsia" w:ascii="宋体" w:hAnsi="宋体" w:cs="宋体"/>
                <w:color w:val="auto"/>
                <w:highlight w:val="none"/>
              </w:rPr>
              <w:t>是否组织现场考察或召开磋商前答疑会：</w:t>
            </w:r>
            <w:r>
              <w:rPr>
                <w:rFonts w:hint="eastAsia" w:ascii="宋体" w:hAnsi="宋体" w:cs="宋体"/>
                <w:color w:val="auto"/>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530" w:hRule="atLeast"/>
        </w:trPr>
        <w:tc>
          <w:tcPr>
            <w:tcW w:w="721" w:type="dxa"/>
            <w:noWrap w:val="0"/>
            <w:tcMar>
              <w:top w:w="0" w:type="dxa"/>
              <w:left w:w="105" w:type="dxa"/>
              <w:bottom w:w="0" w:type="dxa"/>
              <w:right w:w="105" w:type="dxa"/>
            </w:tcMar>
            <w:vAlign w:val="center"/>
          </w:tcPr>
          <w:p>
            <w:pPr>
              <w:pStyle w:val="11"/>
              <w:widowControl/>
              <w:spacing w:before="0" w:beforeAutospacing="0" w:after="0" w:afterAutospacing="0" w:line="435" w:lineRule="atLeast"/>
              <w:jc w:val="center"/>
              <w:rPr>
                <w:color w:val="auto"/>
                <w:highlight w:val="none"/>
              </w:rPr>
            </w:pPr>
            <w:r>
              <w:rPr>
                <w:rFonts w:hint="eastAsia" w:ascii="宋体" w:hAnsi="宋体" w:cs="宋体"/>
                <w:color w:val="auto"/>
                <w:highlight w:val="none"/>
              </w:rPr>
              <w:t>4</w:t>
            </w:r>
          </w:p>
        </w:tc>
        <w:tc>
          <w:tcPr>
            <w:tcW w:w="1040" w:type="dxa"/>
            <w:noWrap w:val="0"/>
            <w:tcMar>
              <w:top w:w="0" w:type="dxa"/>
              <w:left w:w="105" w:type="dxa"/>
              <w:bottom w:w="0" w:type="dxa"/>
              <w:right w:w="105" w:type="dxa"/>
            </w:tcMar>
            <w:vAlign w:val="center"/>
          </w:tcPr>
          <w:p>
            <w:pPr>
              <w:pStyle w:val="11"/>
              <w:widowControl/>
              <w:spacing w:before="0" w:beforeAutospacing="0" w:after="0" w:afterAutospacing="0" w:line="435" w:lineRule="atLeast"/>
              <w:rPr>
                <w:color w:val="auto"/>
                <w:highlight w:val="none"/>
              </w:rPr>
            </w:pPr>
            <w:r>
              <w:rPr>
                <w:rFonts w:hint="eastAsia" w:ascii="宋体" w:hAnsi="宋体" w:cs="宋体"/>
                <w:color w:val="auto"/>
                <w:highlight w:val="none"/>
              </w:rPr>
              <w:t>9.1</w:t>
            </w:r>
          </w:p>
        </w:tc>
        <w:tc>
          <w:tcPr>
            <w:tcW w:w="7536" w:type="dxa"/>
            <w:noWrap w:val="0"/>
            <w:tcMar>
              <w:top w:w="0" w:type="dxa"/>
              <w:left w:w="105" w:type="dxa"/>
              <w:bottom w:w="0" w:type="dxa"/>
              <w:right w:w="105" w:type="dxa"/>
            </w:tcMar>
            <w:vAlign w:val="center"/>
          </w:tcPr>
          <w:p>
            <w:pPr>
              <w:pStyle w:val="11"/>
              <w:widowControl/>
              <w:spacing w:before="0" w:beforeAutospacing="0" w:after="0" w:afterAutospacing="0"/>
              <w:rPr>
                <w:color w:val="auto"/>
                <w:highlight w:val="none"/>
              </w:rPr>
            </w:pPr>
            <w:r>
              <w:rPr>
                <w:rStyle w:val="15"/>
                <w:rFonts w:hint="eastAsia" w:ascii="宋体" w:hAnsi="宋体" w:cs="宋体"/>
                <w:color w:val="auto"/>
                <w:highlight w:val="none"/>
              </w:rPr>
              <w:t>响应文件有效期：</w:t>
            </w:r>
            <w:r>
              <w:rPr>
                <w:rFonts w:hint="eastAsia" w:ascii="宋体" w:hAnsi="宋体" w:cs="宋体"/>
                <w:color w:val="auto"/>
                <w:highlight w:val="none"/>
              </w:rPr>
              <w:t>首次响应文件提交截止时间起90个日历日。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75" w:hRule="atLeast"/>
        </w:trPr>
        <w:tc>
          <w:tcPr>
            <w:tcW w:w="721" w:type="dxa"/>
            <w:noWrap w:val="0"/>
            <w:tcMar>
              <w:top w:w="0" w:type="dxa"/>
              <w:left w:w="105" w:type="dxa"/>
              <w:bottom w:w="0" w:type="dxa"/>
              <w:right w:w="105" w:type="dxa"/>
            </w:tcMar>
            <w:vAlign w:val="center"/>
          </w:tcPr>
          <w:p>
            <w:pPr>
              <w:pStyle w:val="11"/>
              <w:widowControl/>
              <w:spacing w:before="0" w:beforeAutospacing="0" w:after="0" w:afterAutospacing="0" w:line="435" w:lineRule="atLeast"/>
              <w:jc w:val="center"/>
              <w:rPr>
                <w:rFonts w:hint="eastAsia"/>
                <w:color w:val="auto"/>
                <w:highlight w:val="none"/>
              </w:rPr>
            </w:pPr>
            <w:r>
              <w:rPr>
                <w:rFonts w:hint="eastAsia" w:ascii="宋体" w:hAnsi="宋体" w:cs="宋体"/>
                <w:color w:val="auto"/>
                <w:highlight w:val="none"/>
              </w:rPr>
              <w:t>5</w:t>
            </w:r>
          </w:p>
        </w:tc>
        <w:tc>
          <w:tcPr>
            <w:tcW w:w="1040" w:type="dxa"/>
            <w:noWrap w:val="0"/>
            <w:tcMar>
              <w:top w:w="0" w:type="dxa"/>
              <w:left w:w="105" w:type="dxa"/>
              <w:bottom w:w="0" w:type="dxa"/>
              <w:right w:w="105" w:type="dxa"/>
            </w:tcMar>
            <w:vAlign w:val="center"/>
          </w:tcPr>
          <w:p>
            <w:pPr>
              <w:pStyle w:val="11"/>
              <w:widowControl/>
              <w:spacing w:before="0" w:beforeAutospacing="0" w:after="0" w:afterAutospacing="0" w:line="435" w:lineRule="atLeast"/>
              <w:rPr>
                <w:color w:val="auto"/>
                <w:highlight w:val="none"/>
              </w:rPr>
            </w:pPr>
            <w:r>
              <w:rPr>
                <w:rFonts w:hint="eastAsia" w:ascii="宋体" w:hAnsi="宋体" w:cs="宋体"/>
                <w:color w:val="auto"/>
                <w:highlight w:val="none"/>
              </w:rPr>
              <w:t>10.3.1</w:t>
            </w:r>
          </w:p>
        </w:tc>
        <w:tc>
          <w:tcPr>
            <w:tcW w:w="7536" w:type="dxa"/>
            <w:noWrap w:val="0"/>
            <w:tcMar>
              <w:top w:w="0" w:type="dxa"/>
              <w:left w:w="105" w:type="dxa"/>
              <w:bottom w:w="0" w:type="dxa"/>
              <w:right w:w="105" w:type="dxa"/>
            </w:tcMar>
            <w:vAlign w:val="center"/>
          </w:tcPr>
          <w:p>
            <w:pPr>
              <w:pStyle w:val="11"/>
              <w:widowControl/>
              <w:spacing w:before="0" w:beforeAutospacing="0" w:after="0" w:afterAutospacing="0" w:line="435" w:lineRule="atLeast"/>
              <w:rPr>
                <w:color w:val="auto"/>
                <w:highlight w:val="none"/>
              </w:rPr>
            </w:pPr>
            <w:r>
              <w:rPr>
                <w:rStyle w:val="15"/>
                <w:rFonts w:hint="eastAsia" w:ascii="宋体" w:hAnsi="宋体" w:cs="宋体"/>
                <w:color w:val="auto"/>
                <w:highlight w:val="none"/>
              </w:rPr>
              <w:t>磋商保证金退还的其它要求：</w:t>
            </w:r>
          </w:p>
          <w:p>
            <w:pPr>
              <w:pStyle w:val="11"/>
              <w:widowControl/>
              <w:spacing w:before="0" w:beforeAutospacing="0" w:after="0" w:afterAutospacing="0" w:line="435" w:lineRule="atLeast"/>
              <w:rPr>
                <w:color w:val="auto"/>
                <w:highlight w:val="none"/>
              </w:rPr>
            </w:pPr>
            <w:r>
              <w:rPr>
                <w:rFonts w:hint="eastAsia"/>
                <w:color w:val="auto"/>
                <w:highlight w:val="none"/>
              </w:rPr>
              <w:t xml:space="preserve">中标人的投标保证金须在合同签订后方可退回。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75" w:hRule="atLeast"/>
        </w:trPr>
        <w:tc>
          <w:tcPr>
            <w:tcW w:w="721" w:type="dxa"/>
            <w:noWrap w:val="0"/>
            <w:tcMar>
              <w:top w:w="0" w:type="dxa"/>
              <w:left w:w="105" w:type="dxa"/>
              <w:bottom w:w="0" w:type="dxa"/>
              <w:right w:w="105" w:type="dxa"/>
            </w:tcMar>
            <w:vAlign w:val="center"/>
          </w:tcPr>
          <w:p>
            <w:pPr>
              <w:pStyle w:val="11"/>
              <w:widowControl/>
              <w:spacing w:before="0" w:beforeAutospacing="0" w:after="0" w:afterAutospacing="0" w:line="435" w:lineRule="atLeast"/>
              <w:jc w:val="center"/>
              <w:rPr>
                <w:rFonts w:hint="eastAsia"/>
                <w:color w:val="auto"/>
                <w:highlight w:val="none"/>
              </w:rPr>
            </w:pPr>
            <w:r>
              <w:rPr>
                <w:rFonts w:hint="eastAsia" w:ascii="宋体" w:hAnsi="宋体" w:cs="宋体"/>
                <w:color w:val="auto"/>
                <w:highlight w:val="none"/>
              </w:rPr>
              <w:t>6</w:t>
            </w:r>
          </w:p>
        </w:tc>
        <w:tc>
          <w:tcPr>
            <w:tcW w:w="1040" w:type="dxa"/>
            <w:noWrap w:val="0"/>
            <w:tcMar>
              <w:top w:w="0" w:type="dxa"/>
              <w:left w:w="105" w:type="dxa"/>
              <w:bottom w:w="0" w:type="dxa"/>
              <w:right w:w="105" w:type="dxa"/>
            </w:tcMar>
            <w:vAlign w:val="center"/>
          </w:tcPr>
          <w:p>
            <w:pPr>
              <w:pStyle w:val="11"/>
              <w:widowControl/>
              <w:spacing w:before="0" w:beforeAutospacing="0" w:after="0" w:afterAutospacing="0" w:line="435" w:lineRule="atLeast"/>
              <w:rPr>
                <w:color w:val="auto"/>
                <w:highlight w:val="none"/>
              </w:rPr>
            </w:pPr>
            <w:r>
              <w:rPr>
                <w:rFonts w:hint="eastAsia" w:ascii="宋体" w:hAnsi="宋体" w:cs="宋体"/>
                <w:color w:val="auto"/>
                <w:highlight w:val="none"/>
              </w:rPr>
              <w:t>11.1</w:t>
            </w:r>
          </w:p>
        </w:tc>
        <w:tc>
          <w:tcPr>
            <w:tcW w:w="7536" w:type="dxa"/>
            <w:noWrap w:val="0"/>
            <w:tcMar>
              <w:top w:w="0" w:type="dxa"/>
              <w:left w:w="105" w:type="dxa"/>
              <w:bottom w:w="0" w:type="dxa"/>
              <w:right w:w="105" w:type="dxa"/>
            </w:tcMar>
            <w:vAlign w:val="center"/>
          </w:tcPr>
          <w:p>
            <w:pPr>
              <w:pStyle w:val="11"/>
              <w:widowControl/>
              <w:spacing w:before="0" w:beforeAutospacing="0" w:after="0" w:afterAutospacing="0" w:line="435" w:lineRule="atLeast"/>
              <w:rPr>
                <w:color w:val="auto"/>
                <w:highlight w:val="none"/>
              </w:rPr>
            </w:pPr>
            <w:r>
              <w:rPr>
                <w:rStyle w:val="15"/>
                <w:rFonts w:hint="eastAsia" w:ascii="宋体" w:hAnsi="宋体" w:cs="宋体"/>
                <w:color w:val="auto"/>
                <w:highlight w:val="none"/>
              </w:rPr>
              <w:t>响应文件的份数</w:t>
            </w:r>
          </w:p>
          <w:p>
            <w:pPr>
              <w:pStyle w:val="11"/>
              <w:widowControl/>
              <w:spacing w:before="0" w:beforeAutospacing="0" w:after="0" w:afterAutospacing="0" w:line="435" w:lineRule="atLeast"/>
              <w:ind w:firstLine="40"/>
              <w:rPr>
                <w:rFonts w:hint="eastAsia"/>
                <w:color w:val="auto"/>
                <w:sz w:val="21"/>
                <w:szCs w:val="21"/>
                <w:highlight w:val="none"/>
              </w:rPr>
            </w:pPr>
            <w:r>
              <w:rPr>
                <w:rFonts w:hint="eastAsia"/>
                <w:color w:val="auto"/>
                <w:sz w:val="21"/>
                <w:szCs w:val="21"/>
                <w:highlight w:val="none"/>
              </w:rPr>
              <w:t>（1）纸质响应文件</w:t>
            </w:r>
          </w:p>
          <w:p>
            <w:pPr>
              <w:pStyle w:val="11"/>
              <w:widowControl/>
              <w:spacing w:before="0" w:beforeAutospacing="0" w:after="0" w:afterAutospacing="0" w:line="435" w:lineRule="atLeast"/>
              <w:ind w:firstLine="40"/>
              <w:rPr>
                <w:rFonts w:hint="eastAsia"/>
                <w:color w:val="auto"/>
                <w:sz w:val="21"/>
                <w:szCs w:val="21"/>
                <w:highlight w:val="none"/>
              </w:rPr>
            </w:pPr>
            <w:r>
              <w:rPr>
                <w:rFonts w:hint="eastAsia"/>
                <w:color w:val="auto"/>
                <w:sz w:val="21"/>
                <w:szCs w:val="21"/>
                <w:highlight w:val="none"/>
              </w:rPr>
              <w:t xml:space="preserve"> ①响应文件正本 1份、副本3份。</w:t>
            </w:r>
          </w:p>
          <w:p>
            <w:pPr>
              <w:pStyle w:val="11"/>
              <w:widowControl/>
              <w:spacing w:before="0" w:beforeAutospacing="0" w:after="0" w:afterAutospacing="0" w:line="435" w:lineRule="atLeast"/>
              <w:ind w:firstLine="40"/>
              <w:rPr>
                <w:rFonts w:hint="eastAsia"/>
                <w:color w:val="auto"/>
                <w:sz w:val="21"/>
                <w:szCs w:val="21"/>
                <w:highlight w:val="none"/>
              </w:rPr>
            </w:pPr>
            <w:r>
              <w:rPr>
                <w:rFonts w:hint="eastAsia"/>
                <w:color w:val="auto"/>
                <w:sz w:val="21"/>
                <w:szCs w:val="21"/>
                <w:highlight w:val="none"/>
              </w:rPr>
              <w:t xml:space="preserve"> ②可读介质（光盘或U盘） 1 份：将电子响应文件（PDF版</w:t>
            </w:r>
            <w:r>
              <w:rPr>
                <w:rFonts w:hint="eastAsia"/>
                <w:color w:val="auto"/>
                <w:sz w:val="21"/>
                <w:szCs w:val="21"/>
                <w:highlight w:val="none"/>
                <w:lang w:eastAsia="zh-CN"/>
              </w:rPr>
              <w:t>或</w:t>
            </w:r>
            <w:r>
              <w:rPr>
                <w:rFonts w:hint="eastAsia"/>
                <w:color w:val="auto"/>
                <w:sz w:val="21"/>
                <w:szCs w:val="21"/>
                <w:highlight w:val="none"/>
                <w:lang w:val="en-US" w:eastAsia="zh-CN"/>
              </w:rPr>
              <w:t>word版</w:t>
            </w:r>
            <w:r>
              <w:rPr>
                <w:rFonts w:hint="eastAsia"/>
                <w:color w:val="auto"/>
                <w:sz w:val="21"/>
                <w:szCs w:val="21"/>
                <w:highlight w:val="none"/>
              </w:rPr>
              <w:t>）在可读介质中另存 1 份。</w:t>
            </w:r>
          </w:p>
          <w:p>
            <w:pPr>
              <w:pStyle w:val="11"/>
              <w:widowControl/>
              <w:spacing w:before="0" w:beforeAutospacing="0" w:after="0" w:afterAutospacing="0" w:line="435" w:lineRule="atLeast"/>
              <w:ind w:firstLine="40"/>
              <w:rPr>
                <w:rFonts w:hint="eastAsia"/>
                <w:color w:val="auto"/>
                <w:sz w:val="21"/>
                <w:szCs w:val="21"/>
                <w:highlight w:val="none"/>
              </w:rPr>
            </w:pPr>
            <w:r>
              <w:rPr>
                <w:rFonts w:hint="eastAsia"/>
                <w:color w:val="auto"/>
                <w:sz w:val="21"/>
                <w:szCs w:val="21"/>
                <w:highlight w:val="none"/>
              </w:rPr>
              <w:t>(2)其他：</w:t>
            </w:r>
          </w:p>
          <w:p>
            <w:pPr>
              <w:pStyle w:val="11"/>
              <w:widowControl/>
              <w:spacing w:before="0" w:beforeAutospacing="0" w:after="0" w:afterAutospacing="0" w:line="435" w:lineRule="atLeast"/>
              <w:ind w:firstLine="40"/>
              <w:rPr>
                <w:rFonts w:hint="eastAsia"/>
                <w:color w:val="auto"/>
                <w:sz w:val="21"/>
                <w:szCs w:val="21"/>
                <w:highlight w:val="none"/>
              </w:rPr>
            </w:pPr>
            <w:r>
              <w:rPr>
                <w:rFonts w:hint="eastAsia"/>
                <w:color w:val="auto"/>
                <w:sz w:val="21"/>
                <w:szCs w:val="21"/>
                <w:highlight w:val="none"/>
              </w:rPr>
              <w:t>2.1响应文件的格式</w:t>
            </w:r>
          </w:p>
          <w:p>
            <w:pPr>
              <w:pStyle w:val="11"/>
              <w:widowControl/>
              <w:spacing w:before="0" w:beforeAutospacing="0" w:after="0" w:afterAutospacing="0" w:line="435" w:lineRule="atLeast"/>
              <w:ind w:firstLine="40"/>
              <w:rPr>
                <w:rFonts w:hint="eastAsia"/>
                <w:color w:val="auto"/>
                <w:sz w:val="21"/>
                <w:szCs w:val="21"/>
                <w:highlight w:val="none"/>
              </w:rPr>
            </w:pPr>
            <w:r>
              <w:rPr>
                <w:rFonts w:hint="eastAsia"/>
                <w:color w:val="auto"/>
                <w:sz w:val="21"/>
                <w:szCs w:val="21"/>
                <w:highlight w:val="none"/>
              </w:rPr>
              <w:t>①正本应用A4幅面纸张打印装订，编制封面（封面标明“正本”字样）、页码，并用胶装装订成册。</w:t>
            </w:r>
          </w:p>
          <w:p>
            <w:pPr>
              <w:pStyle w:val="11"/>
              <w:widowControl/>
              <w:spacing w:before="0" w:beforeAutospacing="0" w:after="0" w:afterAutospacing="0" w:line="435" w:lineRule="atLeast"/>
              <w:ind w:firstLine="40"/>
              <w:rPr>
                <w:rFonts w:hint="eastAsia"/>
                <w:color w:val="auto"/>
                <w:sz w:val="21"/>
                <w:szCs w:val="21"/>
                <w:highlight w:val="none"/>
              </w:rPr>
            </w:pPr>
            <w:r>
              <w:rPr>
                <w:rFonts w:hint="eastAsia"/>
                <w:color w:val="auto"/>
                <w:sz w:val="21"/>
                <w:szCs w:val="21"/>
                <w:highlight w:val="none"/>
              </w:rPr>
              <w:t>②副本应用A4幅面纸张打印装订，编制封面（封面标明“副本”字样）、页码，并用胶装装订成册；副本可用正本的完整复印件，并与正本保持一致（若不一致，以正本为准）。</w:t>
            </w:r>
          </w:p>
          <w:p>
            <w:pPr>
              <w:pStyle w:val="11"/>
              <w:widowControl/>
              <w:spacing w:before="0" w:beforeAutospacing="0" w:after="0" w:afterAutospacing="0" w:line="435" w:lineRule="atLeast"/>
              <w:ind w:firstLine="40"/>
              <w:rPr>
                <w:rFonts w:hint="eastAsia"/>
                <w:color w:val="auto"/>
                <w:sz w:val="21"/>
                <w:szCs w:val="21"/>
                <w:highlight w:val="none"/>
              </w:rPr>
            </w:pPr>
            <w:r>
              <w:rPr>
                <w:rFonts w:hint="eastAsia"/>
                <w:color w:val="auto"/>
                <w:sz w:val="21"/>
                <w:szCs w:val="21"/>
                <w:highlight w:val="none"/>
              </w:rPr>
              <w:t>③允许散装或活页装订的内容或材料：</w:t>
            </w:r>
          </w:p>
          <w:p>
            <w:pPr>
              <w:pStyle w:val="11"/>
              <w:widowControl/>
              <w:spacing w:before="0" w:beforeAutospacing="0" w:after="0" w:afterAutospacing="0" w:line="435" w:lineRule="atLeast"/>
              <w:ind w:firstLine="40"/>
              <w:rPr>
                <w:rFonts w:hint="eastAsia"/>
                <w:color w:val="auto"/>
                <w:sz w:val="21"/>
                <w:szCs w:val="21"/>
                <w:highlight w:val="none"/>
              </w:rPr>
            </w:pPr>
            <w:r>
              <w:rPr>
                <w:rFonts w:hint="eastAsia"/>
                <w:color w:val="auto"/>
                <w:sz w:val="21"/>
                <w:szCs w:val="21"/>
                <w:highlight w:val="none"/>
              </w:rPr>
              <w:t>1）响应文件的补充、修改或撤回；</w:t>
            </w:r>
          </w:p>
          <w:p>
            <w:pPr>
              <w:pStyle w:val="11"/>
              <w:widowControl/>
              <w:spacing w:before="0" w:beforeAutospacing="0" w:after="0" w:afterAutospacing="0" w:line="435" w:lineRule="atLeast"/>
              <w:ind w:firstLine="40"/>
              <w:rPr>
                <w:rFonts w:hint="eastAsia" w:ascii="宋体" w:hAnsi="宋体" w:cs="宋体"/>
                <w:color w:val="auto"/>
                <w:highlight w:val="none"/>
              </w:rPr>
            </w:pPr>
            <w:r>
              <w:rPr>
                <w:rFonts w:hint="eastAsia"/>
                <w:color w:val="auto"/>
                <w:sz w:val="21"/>
                <w:szCs w:val="21"/>
                <w:highlight w:val="none"/>
              </w:rPr>
              <w:t>2）其他内容或材料：无。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75" w:hRule="atLeast"/>
        </w:trPr>
        <w:tc>
          <w:tcPr>
            <w:tcW w:w="721" w:type="dxa"/>
            <w:noWrap w:val="0"/>
            <w:tcMar>
              <w:top w:w="0" w:type="dxa"/>
              <w:left w:w="105" w:type="dxa"/>
              <w:bottom w:w="0" w:type="dxa"/>
              <w:right w:w="105" w:type="dxa"/>
            </w:tcMar>
            <w:vAlign w:val="center"/>
          </w:tcPr>
          <w:p>
            <w:pPr>
              <w:pStyle w:val="11"/>
              <w:widowControl/>
              <w:spacing w:before="0" w:beforeAutospacing="0" w:after="0" w:afterAutospacing="0" w:line="435" w:lineRule="atLeast"/>
              <w:jc w:val="center"/>
              <w:rPr>
                <w:rFonts w:hint="eastAsia"/>
                <w:color w:val="auto"/>
                <w:highlight w:val="none"/>
              </w:rPr>
            </w:pPr>
            <w:r>
              <w:rPr>
                <w:rFonts w:hint="eastAsia" w:ascii="宋体" w:hAnsi="宋体" w:cs="宋体"/>
                <w:color w:val="auto"/>
                <w:highlight w:val="none"/>
              </w:rPr>
              <w:t>7</w:t>
            </w:r>
          </w:p>
        </w:tc>
        <w:tc>
          <w:tcPr>
            <w:tcW w:w="1040" w:type="dxa"/>
            <w:noWrap w:val="0"/>
            <w:tcMar>
              <w:top w:w="0" w:type="dxa"/>
              <w:left w:w="105" w:type="dxa"/>
              <w:bottom w:w="0" w:type="dxa"/>
              <w:right w:w="105" w:type="dxa"/>
            </w:tcMar>
            <w:vAlign w:val="center"/>
          </w:tcPr>
          <w:p>
            <w:pPr>
              <w:pStyle w:val="11"/>
              <w:widowControl/>
              <w:spacing w:before="0" w:beforeAutospacing="0" w:after="0" w:afterAutospacing="0" w:line="435" w:lineRule="atLeast"/>
              <w:rPr>
                <w:color w:val="auto"/>
                <w:highlight w:val="none"/>
              </w:rPr>
            </w:pPr>
            <w:r>
              <w:rPr>
                <w:rFonts w:hint="eastAsia" w:ascii="宋体" w:hAnsi="宋体" w:cs="宋体"/>
                <w:color w:val="auto"/>
                <w:highlight w:val="none"/>
              </w:rPr>
              <w:t>14.4</w:t>
            </w:r>
          </w:p>
        </w:tc>
        <w:tc>
          <w:tcPr>
            <w:tcW w:w="7536" w:type="dxa"/>
            <w:noWrap w:val="0"/>
            <w:tcMar>
              <w:top w:w="0" w:type="dxa"/>
              <w:left w:w="105" w:type="dxa"/>
              <w:bottom w:w="0" w:type="dxa"/>
              <w:right w:w="105" w:type="dxa"/>
            </w:tcMar>
            <w:vAlign w:val="top"/>
          </w:tcPr>
          <w:p>
            <w:pPr>
              <w:pStyle w:val="11"/>
              <w:widowControl/>
              <w:spacing w:before="0" w:beforeAutospacing="0" w:after="0" w:afterAutospacing="0" w:line="435" w:lineRule="atLeast"/>
              <w:rPr>
                <w:color w:val="auto"/>
                <w:highlight w:val="none"/>
              </w:rPr>
            </w:pPr>
            <w:r>
              <w:rPr>
                <w:rStyle w:val="15"/>
                <w:rFonts w:hint="eastAsia" w:ascii="宋体" w:hAnsi="宋体" w:cs="宋体"/>
                <w:color w:val="auto"/>
                <w:highlight w:val="none"/>
              </w:rPr>
              <w:t>磋商过程中可能发生实质性变动的内容：</w:t>
            </w:r>
          </w:p>
          <w:p>
            <w:pPr>
              <w:pStyle w:val="11"/>
              <w:widowControl/>
              <w:spacing w:before="0" w:beforeAutospacing="0" w:after="0" w:afterAutospacing="0" w:line="435" w:lineRule="atLeast"/>
              <w:rPr>
                <w:color w:val="auto"/>
                <w:highlight w:val="none"/>
              </w:rPr>
            </w:pPr>
            <w:r>
              <w:rPr>
                <w:rFonts w:hint="eastAsia" w:ascii="宋体" w:hAnsi="宋体" w:cs="宋体"/>
                <w:color w:val="auto"/>
                <w:highlight w:val="none"/>
              </w:rPr>
              <w:t>磋商小组可以根据磋商文件和磋商情况实质性变动采购需求中的技术、服务要求以及合同草案条款，磋商文件中的其他内容不变动。实质性变动的内容，须经采购人代表确认。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75" w:hRule="atLeast"/>
        </w:trPr>
        <w:tc>
          <w:tcPr>
            <w:tcW w:w="721" w:type="dxa"/>
            <w:noWrap w:val="0"/>
            <w:tcMar>
              <w:top w:w="0" w:type="dxa"/>
              <w:left w:w="105" w:type="dxa"/>
              <w:bottom w:w="0" w:type="dxa"/>
              <w:right w:w="105" w:type="dxa"/>
            </w:tcMar>
            <w:vAlign w:val="center"/>
          </w:tcPr>
          <w:p>
            <w:pPr>
              <w:pStyle w:val="11"/>
              <w:widowControl/>
              <w:spacing w:before="0" w:beforeAutospacing="0" w:after="0" w:afterAutospacing="0" w:line="435" w:lineRule="atLeast"/>
              <w:jc w:val="center"/>
              <w:rPr>
                <w:color w:val="auto"/>
                <w:highlight w:val="none"/>
              </w:rPr>
            </w:pPr>
            <w:r>
              <w:rPr>
                <w:rFonts w:hint="eastAsia" w:ascii="宋体" w:hAnsi="宋体" w:cs="宋体"/>
                <w:color w:val="auto"/>
                <w:highlight w:val="none"/>
              </w:rPr>
              <w:t>8</w:t>
            </w:r>
          </w:p>
        </w:tc>
        <w:tc>
          <w:tcPr>
            <w:tcW w:w="1040" w:type="dxa"/>
            <w:noWrap w:val="0"/>
            <w:tcMar>
              <w:top w:w="0" w:type="dxa"/>
              <w:left w:w="105" w:type="dxa"/>
              <w:bottom w:w="0" w:type="dxa"/>
              <w:right w:w="105" w:type="dxa"/>
            </w:tcMar>
            <w:vAlign w:val="center"/>
          </w:tcPr>
          <w:p>
            <w:pPr>
              <w:pStyle w:val="11"/>
              <w:widowControl/>
              <w:spacing w:before="0" w:beforeAutospacing="0" w:after="0" w:afterAutospacing="0" w:line="435" w:lineRule="atLeast"/>
              <w:rPr>
                <w:color w:val="auto"/>
                <w:highlight w:val="none"/>
              </w:rPr>
            </w:pPr>
            <w:r>
              <w:rPr>
                <w:rFonts w:hint="eastAsia" w:ascii="宋体" w:hAnsi="宋体" w:cs="宋体"/>
                <w:color w:val="auto"/>
                <w:highlight w:val="none"/>
              </w:rPr>
              <w:t>14.9</w:t>
            </w:r>
          </w:p>
        </w:tc>
        <w:tc>
          <w:tcPr>
            <w:tcW w:w="7536" w:type="dxa"/>
            <w:noWrap w:val="0"/>
            <w:tcMar>
              <w:top w:w="0" w:type="dxa"/>
              <w:left w:w="105" w:type="dxa"/>
              <w:bottom w:w="0" w:type="dxa"/>
              <w:right w:w="105" w:type="dxa"/>
            </w:tcMar>
            <w:vAlign w:val="center"/>
          </w:tcPr>
          <w:p>
            <w:pPr>
              <w:pStyle w:val="11"/>
              <w:widowControl/>
              <w:spacing w:before="0" w:beforeAutospacing="0" w:after="0" w:afterAutospacing="0" w:line="435" w:lineRule="atLeast"/>
              <w:rPr>
                <w:color w:val="auto"/>
                <w:highlight w:val="none"/>
              </w:rPr>
            </w:pPr>
            <w:r>
              <w:rPr>
                <w:rFonts w:hint="eastAsia" w:ascii="宋体" w:hAnsi="宋体" w:cs="宋体"/>
                <w:color w:val="auto"/>
                <w:highlight w:val="none"/>
              </w:rPr>
              <w:t>评审的标准和方法：具体内容详见竞争性磋商须知前附表专项附件“评审的标准和方法”。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75" w:hRule="atLeast"/>
        </w:trPr>
        <w:tc>
          <w:tcPr>
            <w:tcW w:w="721" w:type="dxa"/>
            <w:noWrap w:val="0"/>
            <w:tcMar>
              <w:top w:w="0" w:type="dxa"/>
              <w:left w:w="105" w:type="dxa"/>
              <w:bottom w:w="0" w:type="dxa"/>
              <w:right w:w="105" w:type="dxa"/>
            </w:tcMar>
            <w:vAlign w:val="center"/>
          </w:tcPr>
          <w:p>
            <w:pPr>
              <w:pStyle w:val="16"/>
              <w:jc w:val="center"/>
              <w:rPr>
                <w:rFonts w:ascii="宋体" w:hAnsi="宋体" w:cs="宋体"/>
                <w:color w:val="auto"/>
                <w:sz w:val="24"/>
                <w:szCs w:val="24"/>
                <w:highlight w:val="none"/>
                <w:lang w:eastAsia="zh-CN" w:bidi="ar"/>
              </w:rPr>
            </w:pPr>
            <w:r>
              <w:rPr>
                <w:rFonts w:ascii="宋体" w:hAnsi="宋体" w:cs="宋体"/>
                <w:color w:val="auto"/>
                <w:sz w:val="24"/>
                <w:szCs w:val="24"/>
                <w:highlight w:val="none"/>
                <w:lang w:eastAsia="zh-CN" w:bidi="ar"/>
              </w:rPr>
              <w:t>9</w:t>
            </w:r>
          </w:p>
        </w:tc>
        <w:tc>
          <w:tcPr>
            <w:tcW w:w="1040" w:type="dxa"/>
            <w:noWrap w:val="0"/>
            <w:tcMar>
              <w:top w:w="0" w:type="dxa"/>
              <w:left w:w="105" w:type="dxa"/>
              <w:bottom w:w="0" w:type="dxa"/>
              <w:right w:w="105" w:type="dxa"/>
            </w:tcMar>
            <w:vAlign w:val="center"/>
          </w:tcPr>
          <w:p>
            <w:pPr>
              <w:jc w:val="center"/>
              <w:rPr>
                <w:rFonts w:hint="eastAsia" w:ascii="宋体" w:hAnsi="宋体" w:cs="宋体"/>
                <w:color w:val="auto"/>
                <w:kern w:val="0"/>
                <w:sz w:val="24"/>
                <w:highlight w:val="none"/>
                <w:lang w:bidi="ar"/>
              </w:rPr>
            </w:pPr>
          </w:p>
        </w:tc>
        <w:tc>
          <w:tcPr>
            <w:tcW w:w="7536" w:type="dxa"/>
            <w:noWrap w:val="0"/>
            <w:tcMar>
              <w:top w:w="0" w:type="dxa"/>
              <w:left w:w="105" w:type="dxa"/>
              <w:bottom w:w="0" w:type="dxa"/>
              <w:right w:w="105" w:type="dxa"/>
            </w:tcMar>
            <w:vAlign w:val="top"/>
          </w:tcPr>
          <w:p>
            <w:pPr>
              <w:pStyle w:val="11"/>
              <w:widowControl/>
              <w:spacing w:before="0" w:beforeAutospacing="0" w:after="0" w:afterAutospacing="0" w:line="435" w:lineRule="atLeast"/>
              <w:rPr>
                <w:rFonts w:hint="eastAsia" w:ascii="宋体" w:hAnsi="宋体" w:cs="宋体"/>
                <w:color w:val="auto"/>
                <w:highlight w:val="none"/>
              </w:rPr>
            </w:pPr>
            <w:r>
              <w:rPr>
                <w:rFonts w:hint="eastAsia" w:ascii="宋体" w:hAnsi="宋体" w:cs="宋体"/>
                <w:b/>
                <w:bCs/>
                <w:color w:val="auto"/>
                <w:highlight w:val="none"/>
              </w:rPr>
              <w:t>根据采购项目的特点和需要，需要加以详细说明的其他磋商程序规定、要求等内容</w:t>
            </w:r>
            <w:r>
              <w:rPr>
                <w:rFonts w:hint="eastAsia" w:ascii="宋体" w:hAnsi="宋体" w:cs="宋体"/>
                <w:color w:val="auto"/>
                <w:highlight w:val="none"/>
              </w:rPr>
              <w:t>：</w:t>
            </w:r>
          </w:p>
          <w:p>
            <w:pPr>
              <w:pStyle w:val="11"/>
              <w:widowControl/>
              <w:spacing w:before="0" w:beforeAutospacing="0" w:after="0" w:afterAutospacing="0" w:line="435" w:lineRule="atLeast"/>
              <w:rPr>
                <w:rFonts w:hint="eastAsia"/>
                <w:color w:val="auto"/>
                <w:highlight w:val="none"/>
                <w:lang w:eastAsia="zh-Hans"/>
              </w:rPr>
            </w:pPr>
            <w:r>
              <w:rPr>
                <w:rFonts w:hint="eastAsia" w:ascii="宋体" w:hAnsi="宋体" w:cs="宋体"/>
                <w:color w:val="auto"/>
                <w:highlight w:val="none"/>
              </w:rPr>
              <w:t xml:space="preserve">竞争性磋商以进入磋商阶段的供应商递交首次响应文件的先后确定磋商顺序。 未按照磋商文件的变动情况和磋商小组的要求重新提交补充响应文件的供应商，磋商小组将否决其响应文件，按无效处理。 已提交响应文件的供应商，在提交最后报价之前，可以根据磋商情况退出磋商，须以由其法定代表人或授权代表签字或者加盖公章的书面形式通知磋商小组退出磋商。由授权代表签字的，应当附法定代表人授权书。供应商为自然人的，应当由本人签字并附身份证明。采购代理机构退还退出磋商的供应商的磋商保证金。 供应商提交的最后报价超过了磋商文件规定的最高限价或最后报价超过其首次报价的，磋商小组将否决其响应文件，按无效投标处理。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75" w:hRule="atLeast"/>
        </w:trPr>
        <w:tc>
          <w:tcPr>
            <w:tcW w:w="721" w:type="dxa"/>
            <w:noWrap w:val="0"/>
            <w:tcMar>
              <w:top w:w="0" w:type="dxa"/>
              <w:left w:w="105" w:type="dxa"/>
              <w:bottom w:w="0" w:type="dxa"/>
              <w:right w:w="105" w:type="dxa"/>
            </w:tcMar>
            <w:vAlign w:val="center"/>
          </w:tcPr>
          <w:p>
            <w:pPr>
              <w:pStyle w:val="11"/>
              <w:widowControl/>
              <w:spacing w:before="0" w:beforeAutospacing="0" w:after="0" w:afterAutospacing="0" w:line="435" w:lineRule="atLeast"/>
              <w:jc w:val="center"/>
              <w:rPr>
                <w:rFonts w:hint="eastAsia"/>
                <w:color w:val="auto"/>
                <w:highlight w:val="none"/>
              </w:rPr>
            </w:pPr>
            <w:r>
              <w:rPr>
                <w:rFonts w:hint="eastAsia" w:ascii="宋体" w:hAnsi="宋体" w:cs="宋体"/>
                <w:color w:val="auto"/>
                <w:highlight w:val="none"/>
              </w:rPr>
              <w:t>10</w:t>
            </w:r>
          </w:p>
        </w:tc>
        <w:tc>
          <w:tcPr>
            <w:tcW w:w="1040" w:type="dxa"/>
            <w:noWrap w:val="0"/>
            <w:tcMar>
              <w:top w:w="0" w:type="dxa"/>
              <w:left w:w="105" w:type="dxa"/>
              <w:bottom w:w="0" w:type="dxa"/>
              <w:right w:w="105" w:type="dxa"/>
            </w:tcMar>
            <w:vAlign w:val="center"/>
          </w:tcPr>
          <w:p>
            <w:pPr>
              <w:pStyle w:val="11"/>
              <w:widowControl/>
              <w:spacing w:before="0" w:beforeAutospacing="0" w:after="0" w:afterAutospacing="0" w:line="435" w:lineRule="atLeast"/>
              <w:rPr>
                <w:color w:val="auto"/>
                <w:highlight w:val="none"/>
              </w:rPr>
            </w:pPr>
            <w:r>
              <w:rPr>
                <w:rFonts w:hint="eastAsia" w:ascii="宋体" w:hAnsi="宋体" w:cs="宋体"/>
                <w:color w:val="auto"/>
                <w:highlight w:val="none"/>
              </w:rPr>
              <w:t>22.2</w:t>
            </w:r>
          </w:p>
        </w:tc>
        <w:tc>
          <w:tcPr>
            <w:tcW w:w="7536" w:type="dxa"/>
            <w:noWrap w:val="0"/>
            <w:tcMar>
              <w:top w:w="0" w:type="dxa"/>
              <w:left w:w="105" w:type="dxa"/>
              <w:bottom w:w="0" w:type="dxa"/>
              <w:right w:w="105" w:type="dxa"/>
            </w:tcMar>
            <w:vAlign w:val="top"/>
          </w:tcPr>
          <w:p>
            <w:pPr>
              <w:pStyle w:val="11"/>
              <w:widowControl/>
              <w:wordWrap w:val="0"/>
              <w:spacing w:before="0" w:beforeAutospacing="0" w:after="0" w:afterAutospacing="0" w:line="435" w:lineRule="atLeast"/>
              <w:rPr>
                <w:color w:val="auto"/>
                <w:highlight w:val="none"/>
              </w:rPr>
            </w:pPr>
            <w:r>
              <w:rPr>
                <w:rStyle w:val="15"/>
                <w:rFonts w:hint="eastAsia" w:ascii="宋体" w:hAnsi="宋体" w:cs="宋体"/>
                <w:color w:val="auto"/>
                <w:highlight w:val="none"/>
              </w:rPr>
              <w:t>信息公告指定媒体（以下简称：“指定媒体”）：</w:t>
            </w:r>
          </w:p>
          <w:p>
            <w:pPr>
              <w:pStyle w:val="11"/>
              <w:widowControl/>
              <w:wordWrap w:val="0"/>
              <w:spacing w:before="0" w:beforeAutospacing="0" w:after="0" w:afterAutospacing="0" w:line="435" w:lineRule="atLeast"/>
              <w:rPr>
                <w:color w:val="auto"/>
                <w:highlight w:val="none"/>
              </w:rPr>
            </w:pPr>
            <w:r>
              <w:rPr>
                <w:rFonts w:hint="eastAsia" w:ascii="宋体" w:hAnsi="宋体" w:cs="宋体"/>
                <w:color w:val="auto"/>
                <w:highlight w:val="none"/>
              </w:rPr>
              <w:t> (1)福州市鼓楼区政府门户网站（http://www.gl.gov.cn</w:t>
            </w:r>
            <w:r>
              <w:rPr>
                <w:rFonts w:hint="eastAsia" w:ascii="宋体" w:hAnsi="宋体" w:cs="宋体"/>
                <w:color w:val="auto"/>
                <w:highlight w:val="none"/>
                <w:lang w:val="en-US" w:eastAsia="zh-CN"/>
              </w:rPr>
              <w:t>/</w:t>
            </w:r>
            <w:r>
              <w:rPr>
                <w:rFonts w:hint="eastAsia" w:ascii="宋体" w:hAnsi="宋体" w:cs="宋体"/>
                <w:color w:val="auto"/>
                <w:highlight w:val="none"/>
              </w:rPr>
              <w:t>）</w:t>
            </w:r>
            <w:r>
              <w:rPr>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590" w:hRule="atLeast"/>
        </w:trPr>
        <w:tc>
          <w:tcPr>
            <w:tcW w:w="721" w:type="dxa"/>
            <w:noWrap w:val="0"/>
            <w:tcMar>
              <w:top w:w="0" w:type="dxa"/>
              <w:left w:w="105" w:type="dxa"/>
              <w:bottom w:w="0" w:type="dxa"/>
              <w:right w:w="105" w:type="dxa"/>
            </w:tcMar>
            <w:vAlign w:val="center"/>
          </w:tcPr>
          <w:p>
            <w:pPr>
              <w:pStyle w:val="11"/>
              <w:widowControl/>
              <w:spacing w:before="0" w:beforeAutospacing="0" w:after="0" w:afterAutospacing="0" w:line="435" w:lineRule="atLeast"/>
              <w:jc w:val="center"/>
              <w:rPr>
                <w:rFonts w:hint="eastAsia"/>
                <w:color w:val="auto"/>
                <w:highlight w:val="none"/>
              </w:rPr>
            </w:pPr>
            <w:r>
              <w:rPr>
                <w:rFonts w:hint="eastAsia" w:ascii="宋体" w:hAnsi="宋体" w:cs="宋体"/>
                <w:color w:val="auto"/>
                <w:highlight w:val="none"/>
              </w:rPr>
              <w:t>11</w:t>
            </w:r>
          </w:p>
        </w:tc>
        <w:tc>
          <w:tcPr>
            <w:tcW w:w="1040" w:type="dxa"/>
            <w:noWrap w:val="0"/>
            <w:tcMar>
              <w:top w:w="0" w:type="dxa"/>
              <w:left w:w="105" w:type="dxa"/>
              <w:bottom w:w="0" w:type="dxa"/>
              <w:right w:w="105" w:type="dxa"/>
            </w:tcMar>
            <w:vAlign w:val="center"/>
          </w:tcPr>
          <w:p>
            <w:pPr>
              <w:pStyle w:val="11"/>
              <w:widowControl/>
              <w:spacing w:before="0" w:beforeAutospacing="0" w:after="0" w:afterAutospacing="0" w:line="435" w:lineRule="atLeast"/>
              <w:rPr>
                <w:color w:val="auto"/>
                <w:highlight w:val="none"/>
              </w:rPr>
            </w:pPr>
            <w:r>
              <w:rPr>
                <w:rFonts w:hint="eastAsia" w:ascii="宋体" w:hAnsi="宋体" w:cs="宋体"/>
                <w:color w:val="auto"/>
                <w:highlight w:val="none"/>
              </w:rPr>
              <w:t>23.1</w:t>
            </w:r>
          </w:p>
        </w:tc>
        <w:tc>
          <w:tcPr>
            <w:tcW w:w="7536" w:type="dxa"/>
            <w:noWrap w:val="0"/>
            <w:tcMar>
              <w:top w:w="0" w:type="dxa"/>
              <w:left w:w="105" w:type="dxa"/>
              <w:bottom w:w="0" w:type="dxa"/>
              <w:right w:w="105" w:type="dxa"/>
            </w:tcMar>
            <w:vAlign w:val="center"/>
          </w:tcPr>
          <w:p>
            <w:pPr>
              <w:pStyle w:val="11"/>
              <w:widowControl/>
              <w:spacing w:before="0" w:beforeAutospacing="0" w:after="0" w:afterAutospacing="0" w:line="435" w:lineRule="atLeast"/>
              <w:rPr>
                <w:rFonts w:hint="eastAsia" w:eastAsia="宋体"/>
                <w:color w:val="auto"/>
                <w:highlight w:val="none"/>
                <w:lang w:eastAsia="zh-CN"/>
              </w:rPr>
            </w:pPr>
            <w:r>
              <w:rPr>
                <w:rStyle w:val="15"/>
                <w:rFonts w:hint="eastAsia" w:ascii="宋体" w:hAnsi="宋体" w:cs="宋体"/>
                <w:color w:val="auto"/>
                <w:highlight w:val="none"/>
              </w:rPr>
              <w:t>本项目监督管理部门：</w:t>
            </w:r>
            <w:r>
              <w:rPr>
                <w:rStyle w:val="15"/>
                <w:rFonts w:hint="eastAsia" w:ascii="宋体" w:hAnsi="宋体" w:cs="宋体"/>
                <w:color w:val="auto"/>
                <w:highlight w:val="none"/>
                <w:lang w:eastAsia="zh-CN"/>
              </w:rPr>
              <w:t>福建省福州市鼓楼区华大街道北江社区居民委员会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105" w:hRule="atLeast"/>
        </w:trPr>
        <w:tc>
          <w:tcPr>
            <w:tcW w:w="721" w:type="dxa"/>
            <w:noWrap w:val="0"/>
            <w:tcMar>
              <w:top w:w="0" w:type="dxa"/>
              <w:left w:w="105" w:type="dxa"/>
              <w:bottom w:w="0" w:type="dxa"/>
              <w:right w:w="105" w:type="dxa"/>
            </w:tcMar>
            <w:vAlign w:val="center"/>
          </w:tcPr>
          <w:p>
            <w:pPr>
              <w:pStyle w:val="11"/>
              <w:widowControl/>
              <w:spacing w:before="0" w:beforeAutospacing="0" w:after="0" w:afterAutospacing="0" w:line="435" w:lineRule="atLeast"/>
              <w:jc w:val="center"/>
              <w:rPr>
                <w:rFonts w:hint="eastAsia"/>
                <w:color w:val="auto"/>
                <w:highlight w:val="none"/>
              </w:rPr>
            </w:pPr>
            <w:r>
              <w:rPr>
                <w:rFonts w:hint="eastAsia" w:ascii="宋体" w:hAnsi="宋体" w:cs="宋体"/>
                <w:color w:val="auto"/>
                <w:highlight w:val="none"/>
              </w:rPr>
              <w:t>12</w:t>
            </w:r>
          </w:p>
        </w:tc>
        <w:tc>
          <w:tcPr>
            <w:tcW w:w="1040" w:type="dxa"/>
            <w:noWrap w:val="0"/>
            <w:tcMar>
              <w:top w:w="0" w:type="dxa"/>
              <w:left w:w="105" w:type="dxa"/>
              <w:bottom w:w="0" w:type="dxa"/>
              <w:right w:w="105" w:type="dxa"/>
            </w:tcMar>
            <w:vAlign w:val="center"/>
          </w:tcPr>
          <w:p>
            <w:pPr>
              <w:pStyle w:val="11"/>
              <w:widowControl/>
              <w:spacing w:before="0" w:beforeAutospacing="0" w:after="0" w:afterAutospacing="0" w:line="435" w:lineRule="atLeast"/>
              <w:rPr>
                <w:color w:val="auto"/>
                <w:highlight w:val="none"/>
              </w:rPr>
            </w:pPr>
            <w:r>
              <w:rPr>
                <w:rFonts w:hint="eastAsia" w:ascii="宋体" w:hAnsi="宋体" w:cs="宋体"/>
                <w:color w:val="auto"/>
                <w:highlight w:val="none"/>
              </w:rPr>
              <w:t>26</w:t>
            </w:r>
          </w:p>
        </w:tc>
        <w:tc>
          <w:tcPr>
            <w:tcW w:w="7536" w:type="dxa"/>
            <w:noWrap w:val="0"/>
            <w:tcMar>
              <w:top w:w="0" w:type="dxa"/>
              <w:left w:w="105" w:type="dxa"/>
              <w:bottom w:w="0" w:type="dxa"/>
              <w:right w:w="105" w:type="dxa"/>
            </w:tcMar>
            <w:vAlign w:val="center"/>
          </w:tcPr>
          <w:p>
            <w:pPr>
              <w:pStyle w:val="11"/>
              <w:widowControl/>
              <w:wordWrap w:val="0"/>
              <w:spacing w:before="0" w:beforeAutospacing="0" w:after="0" w:afterAutospacing="0" w:line="435" w:lineRule="atLeast"/>
              <w:rPr>
                <w:rStyle w:val="15"/>
                <w:rFonts w:hint="eastAsia" w:ascii="宋体" w:hAnsi="宋体" w:cs="宋体"/>
                <w:color w:val="auto"/>
                <w:highlight w:val="none"/>
              </w:rPr>
            </w:pPr>
            <w:r>
              <w:rPr>
                <w:rStyle w:val="15"/>
                <w:rFonts w:hint="eastAsia" w:ascii="宋体" w:hAnsi="宋体" w:cs="宋体"/>
                <w:color w:val="auto"/>
                <w:highlight w:val="none"/>
              </w:rPr>
              <w:t>根据采购项目特点或政策需要补充的其他新增内容：</w:t>
            </w:r>
          </w:p>
          <w:p>
            <w:pPr>
              <w:pStyle w:val="11"/>
              <w:widowControl/>
              <w:wordWrap w:val="0"/>
              <w:spacing w:before="0" w:beforeAutospacing="0" w:after="0" w:afterAutospacing="0" w:line="435" w:lineRule="atLeast"/>
              <w:rPr>
                <w:color w:val="auto"/>
                <w:highlight w:val="none"/>
              </w:rPr>
            </w:pPr>
            <w:r>
              <w:rPr>
                <w:rFonts w:hint="eastAsia" w:ascii="宋体" w:hAnsi="宋体" w:cs="宋体"/>
                <w:color w:val="auto"/>
                <w:highlight w:val="none"/>
              </w:rPr>
              <w:t>(1)</w:t>
            </w:r>
            <w:r>
              <w:rPr>
                <w:rFonts w:hint="eastAsia" w:ascii="宋体" w:hAnsi="宋体" w:cs="宋体"/>
                <w:b/>
                <w:bCs/>
                <w:color w:val="auto"/>
                <w:highlight w:val="none"/>
              </w:rPr>
              <w:t>收费标准：</w:t>
            </w:r>
            <w:r>
              <w:rPr>
                <w:rFonts w:hint="eastAsia" w:ascii="宋体" w:hAnsi="宋体" w:cs="宋体"/>
                <w:b/>
                <w:bCs/>
                <w:color w:val="auto"/>
                <w:highlight w:val="none"/>
                <w:lang w:eastAsia="zh-CN"/>
              </w:rPr>
              <w:t>（</w:t>
            </w:r>
            <w:r>
              <w:rPr>
                <w:rFonts w:hint="eastAsia" w:ascii="宋体" w:hAnsi="宋体" w:cs="宋体"/>
                <w:b/>
                <w:bCs/>
                <w:color w:val="auto"/>
                <w:highlight w:val="none"/>
                <w:lang w:val="en-US" w:eastAsia="zh-CN"/>
              </w:rPr>
              <w:t>1</w:t>
            </w:r>
            <w:r>
              <w:rPr>
                <w:rFonts w:hint="eastAsia" w:ascii="宋体" w:hAnsi="宋体" w:cs="宋体"/>
                <w:b/>
                <w:bCs/>
                <w:color w:val="auto"/>
                <w:highlight w:val="none"/>
                <w:lang w:eastAsia="zh-CN"/>
              </w:rPr>
              <w:t>）</w:t>
            </w:r>
            <w:r>
              <w:rPr>
                <w:rFonts w:hint="eastAsia" w:ascii="宋体" w:hAnsi="宋体" w:cs="宋体"/>
                <w:b/>
                <w:bCs/>
                <w:color w:val="auto"/>
                <w:highlight w:val="none"/>
              </w:rPr>
              <w:t>本项目招标代理服务费向成交供应商收</w:t>
            </w:r>
            <w:r>
              <w:rPr>
                <w:rFonts w:hint="eastAsia" w:ascii="宋体" w:hAnsi="宋体" w:eastAsia="宋体" w:cs="宋体"/>
                <w:b/>
                <w:bCs/>
                <w:color w:val="auto"/>
                <w:highlight w:val="none"/>
              </w:rPr>
              <w:t>取。</w:t>
            </w:r>
            <w:r>
              <w:rPr>
                <w:rFonts w:hint="eastAsia" w:ascii="宋体" w:hAnsi="宋体" w:eastAsia="宋体" w:cs="宋体"/>
                <w:b/>
                <w:bCs/>
                <w:color w:val="auto"/>
                <w:highlight w:val="none"/>
                <w:lang w:val="en-US" w:eastAsia="zh-CN"/>
              </w:rPr>
              <w:t>中标总金额(万元)100以下的服务费比率1.</w:t>
            </w:r>
            <w:r>
              <w:rPr>
                <w:rFonts w:hint="eastAsia" w:ascii="宋体" w:hAnsi="宋体" w:cs="宋体"/>
                <w:b/>
                <w:bCs/>
                <w:color w:val="auto"/>
                <w:highlight w:val="none"/>
                <w:lang w:val="en-US" w:eastAsia="zh-CN"/>
              </w:rPr>
              <w:t>0</w:t>
            </w:r>
            <w:r>
              <w:rPr>
                <w:rFonts w:hint="eastAsia" w:ascii="宋体" w:hAnsi="宋体" w:eastAsia="宋体" w:cs="宋体"/>
                <w:b/>
                <w:bCs/>
                <w:color w:val="auto"/>
                <w:highlight w:val="none"/>
                <w:lang w:val="en-US" w:eastAsia="zh-CN"/>
              </w:rPr>
              <w:t>％，100—500的服务费比率</w:t>
            </w:r>
            <w:r>
              <w:rPr>
                <w:rFonts w:hint="eastAsia" w:ascii="宋体" w:hAnsi="宋体" w:cs="宋体"/>
                <w:b/>
                <w:bCs/>
                <w:color w:val="auto"/>
                <w:highlight w:val="none"/>
                <w:lang w:val="en-US" w:eastAsia="zh-CN"/>
              </w:rPr>
              <w:t>0.7</w:t>
            </w:r>
            <w:r>
              <w:rPr>
                <w:rFonts w:hint="eastAsia" w:ascii="宋体" w:hAnsi="宋体" w:eastAsia="宋体" w:cs="宋体"/>
                <w:b/>
                <w:bCs/>
                <w:color w:val="auto"/>
                <w:highlight w:val="none"/>
                <w:lang w:val="en-US" w:eastAsia="zh-CN"/>
              </w:rPr>
              <w:t>％。</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2）招标代理服务费收</w:t>
            </w:r>
            <w:r>
              <w:rPr>
                <w:rFonts w:hint="eastAsia" w:ascii="宋体" w:hAnsi="宋体" w:cs="宋体"/>
                <w:b/>
                <w:bCs/>
                <w:color w:val="auto"/>
                <w:highlight w:val="none"/>
              </w:rPr>
              <w:t>取方式：中标人应在领取中标通知书的同时按规定的标准一次性向采购代理机构缴清招标代理服务费。招标代理服务费以银行转账、电汇、汇票或现金等付款方式。（3）质疑受理的其它要求：a.供应商递交质疑函时需提供购买本项目磋商文件凭证，否则将不被认定为潜在供应商，其质疑将不予受理。b.在法定质疑期内供应商须一次性提出针对同一采购程序环节的质疑，若供应商多次对同一采购程序环节提出质疑的，采购代理机构将不予以受理。（4)报价人需对本次响应所提供材料的真实性单独出具承诺函，若在评标过程中，对其响应文件中提供各种资料、说明的真实性负责，未单独在</w:t>
            </w:r>
            <w:r>
              <w:rPr>
                <w:rFonts w:hint="eastAsia" w:ascii="宋体" w:hAnsi="宋体" w:cs="宋体"/>
                <w:b/>
                <w:bCs/>
                <w:color w:val="auto"/>
                <w:highlight w:val="none"/>
                <w:lang w:eastAsia="zh-CN"/>
              </w:rPr>
              <w:t>响应文件中</w:t>
            </w:r>
            <w:r>
              <w:rPr>
                <w:rFonts w:hint="eastAsia" w:ascii="宋体" w:hAnsi="宋体" w:cs="宋体"/>
                <w:b/>
                <w:bCs/>
                <w:color w:val="auto"/>
                <w:highlight w:val="none"/>
              </w:rPr>
              <w:t>提供承诺函按照无效报价处理。发现报价人为谋取中标而提供虚假资料欺骗采购人和评委的行为，追究其法律责任并取消中标资格。（5）采购人根据评标委员会推荐的成交候选人依法确定中标人。采购人应当依法确定排名第一的成交候选人为中标人。当排名第一的成交候选人放弃中标、因不可抗力提出不能履行合同时，采购人可以确定排名第二的成交候选人为中标人。当排名第二的成交候选人因前款规定的同样原因不能签订合同的采购人可以确定排名第三的成交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105" w:hRule="atLeast"/>
        </w:trPr>
        <w:tc>
          <w:tcPr>
            <w:tcW w:w="721" w:type="dxa"/>
            <w:noWrap w:val="0"/>
            <w:tcMar>
              <w:top w:w="0" w:type="dxa"/>
              <w:left w:w="105" w:type="dxa"/>
              <w:bottom w:w="0" w:type="dxa"/>
              <w:right w:w="105" w:type="dxa"/>
            </w:tcMar>
            <w:vAlign w:val="top"/>
          </w:tcPr>
          <w:p>
            <w:pPr>
              <w:pStyle w:val="11"/>
              <w:widowControl/>
              <w:wordWrap w:val="0"/>
              <w:spacing w:before="0" w:beforeAutospacing="0" w:after="0" w:afterAutospacing="0" w:line="435" w:lineRule="atLeast"/>
              <w:jc w:val="center"/>
              <w:rPr>
                <w:rFonts w:hint="eastAsia" w:ascii="宋体" w:hAnsi="宋体" w:cs="宋体"/>
                <w:color w:val="auto"/>
                <w:highlight w:val="none"/>
                <w:lang w:bidi="ar"/>
              </w:rPr>
            </w:pPr>
            <w:r>
              <w:rPr>
                <w:rFonts w:hint="eastAsia" w:ascii="宋体" w:hAnsi="宋体" w:cs="宋体"/>
                <w:color w:val="auto"/>
                <w:highlight w:val="none"/>
              </w:rPr>
              <w:t>13</w:t>
            </w:r>
          </w:p>
        </w:tc>
        <w:tc>
          <w:tcPr>
            <w:tcW w:w="1040" w:type="dxa"/>
            <w:noWrap w:val="0"/>
            <w:tcMar>
              <w:top w:w="0" w:type="dxa"/>
              <w:left w:w="105" w:type="dxa"/>
              <w:bottom w:w="0" w:type="dxa"/>
              <w:right w:w="105" w:type="dxa"/>
            </w:tcMar>
            <w:vAlign w:val="top"/>
          </w:tcPr>
          <w:p>
            <w:pPr>
              <w:pStyle w:val="11"/>
              <w:widowControl/>
              <w:wordWrap w:val="0"/>
              <w:spacing w:before="0" w:beforeAutospacing="0" w:after="0" w:afterAutospacing="0" w:line="435" w:lineRule="atLeast"/>
              <w:jc w:val="center"/>
              <w:rPr>
                <w:rFonts w:hint="eastAsia" w:ascii="宋体" w:hAnsi="宋体" w:cs="宋体"/>
                <w:color w:val="auto"/>
                <w:highlight w:val="none"/>
                <w:lang w:eastAsia="zh-Hans" w:bidi="ar"/>
              </w:rPr>
            </w:pPr>
            <w:r>
              <w:rPr>
                <w:rFonts w:hint="eastAsia" w:ascii="宋体" w:hAnsi="宋体" w:cs="宋体"/>
                <w:color w:val="auto"/>
                <w:highlight w:val="none"/>
              </w:rPr>
              <w:t>18.1</w:t>
            </w:r>
          </w:p>
        </w:tc>
        <w:tc>
          <w:tcPr>
            <w:tcW w:w="7536" w:type="dxa"/>
            <w:noWrap w:val="0"/>
            <w:tcMar>
              <w:top w:w="0" w:type="dxa"/>
              <w:left w:w="105" w:type="dxa"/>
              <w:bottom w:w="0" w:type="dxa"/>
              <w:right w:w="105" w:type="dxa"/>
            </w:tcMar>
            <w:vAlign w:val="top"/>
          </w:tcPr>
          <w:p>
            <w:pPr>
              <w:pStyle w:val="11"/>
              <w:widowControl/>
              <w:wordWrap w:val="0"/>
              <w:spacing w:before="0" w:beforeAutospacing="0" w:after="0" w:afterAutospacing="0" w:line="435" w:lineRule="atLeast"/>
              <w:rPr>
                <w:rFonts w:hint="eastAsia" w:ascii="宋体" w:hAnsi="宋体" w:cs="宋体"/>
                <w:color w:val="auto"/>
                <w:highlight w:val="none"/>
                <w:lang w:eastAsia="zh-Hans" w:bidi="ar"/>
              </w:rPr>
            </w:pPr>
            <w:r>
              <w:rPr>
                <w:rFonts w:hint="eastAsia" w:ascii="宋体" w:hAnsi="宋体" w:cs="宋体"/>
                <w:b/>
                <w:bCs/>
                <w:color w:val="auto"/>
                <w:highlight w:val="none"/>
              </w:rPr>
              <w:t>合同签订时限：</w:t>
            </w:r>
            <w:r>
              <w:rPr>
                <w:rFonts w:hint="eastAsia" w:ascii="宋体" w:hAnsi="宋体" w:cs="宋体"/>
                <w:color w:val="auto"/>
                <w:highlight w:val="none"/>
              </w:rPr>
              <w:t>自中标通知书发出之日起30个日历日内。</w:t>
            </w:r>
          </w:p>
        </w:tc>
      </w:tr>
    </w:tbl>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w:t>
      </w:r>
    </w:p>
    <w:p>
      <w:pPr>
        <w:rPr>
          <w:color w:val="auto"/>
          <w:highlight w:val="none"/>
        </w:rPr>
      </w:pPr>
      <w:r>
        <w:rPr>
          <w:rStyle w:val="15"/>
          <w:rFonts w:hint="eastAsia" w:ascii="宋体" w:hAnsi="宋体" w:cs="宋体"/>
          <w:color w:val="auto"/>
          <w:sz w:val="24"/>
          <w:highlight w:val="none"/>
        </w:rPr>
        <w:br w:type="page"/>
      </w:r>
      <w:r>
        <w:rPr>
          <w:rStyle w:val="15"/>
          <w:rFonts w:hint="eastAsia" w:ascii="宋体" w:hAnsi="宋体" w:cs="宋体"/>
          <w:color w:val="auto"/>
          <w:sz w:val="24"/>
          <w:highlight w:val="none"/>
        </w:rPr>
        <w:t xml:space="preserve">专项附件：          </w:t>
      </w:r>
      <w:r>
        <w:rPr>
          <w:rStyle w:val="15"/>
          <w:rFonts w:hint="eastAsia" w:ascii="宋体" w:hAnsi="宋体" w:cs="宋体"/>
          <w:color w:val="auto"/>
          <w:sz w:val="31"/>
          <w:szCs w:val="31"/>
          <w:highlight w:val="none"/>
        </w:rPr>
        <w:t>评审的标准和方法</w:t>
      </w:r>
    </w:p>
    <w:p>
      <w:pPr>
        <w:pStyle w:val="11"/>
        <w:widowControl/>
        <w:spacing w:before="75" w:beforeAutospacing="0" w:after="75" w:afterAutospacing="0" w:line="435" w:lineRule="atLeast"/>
        <w:jc w:val="center"/>
        <w:rPr>
          <w:color w:val="auto"/>
          <w:highlight w:val="none"/>
        </w:rPr>
      </w:pPr>
      <w:r>
        <w:rPr>
          <w:rStyle w:val="15"/>
          <w:rFonts w:hint="eastAsia" w:ascii="宋体" w:hAnsi="宋体" w:cs="宋体"/>
          <w:color w:val="auto"/>
          <w:highlight w:val="none"/>
        </w:rPr>
        <w:t> 一、磋商小组</w:t>
      </w:r>
    </w:p>
    <w:p>
      <w:pPr>
        <w:pStyle w:val="11"/>
        <w:widowControl/>
        <w:spacing w:before="75" w:beforeAutospacing="0" w:after="75" w:afterAutospacing="0" w:line="420" w:lineRule="atLeast"/>
        <w:ind w:firstLine="480" w:firstLineChars="200"/>
        <w:rPr>
          <w:color w:val="auto"/>
          <w:highlight w:val="none"/>
        </w:rPr>
      </w:pPr>
      <w:r>
        <w:rPr>
          <w:rFonts w:hint="eastAsia" w:ascii="宋体" w:hAnsi="宋体" w:cs="宋体"/>
          <w:color w:val="auto"/>
          <w:highlight w:val="none"/>
        </w:rPr>
        <w:t>1.1采购人根据项目的特点依法组建磋商小组。</w:t>
      </w:r>
    </w:p>
    <w:p>
      <w:pPr>
        <w:pStyle w:val="11"/>
        <w:widowControl/>
        <w:spacing w:before="75" w:beforeAutospacing="0" w:after="75" w:afterAutospacing="0" w:line="420" w:lineRule="atLeast"/>
        <w:ind w:firstLine="480" w:firstLineChars="200"/>
        <w:rPr>
          <w:color w:val="auto"/>
          <w:highlight w:val="none"/>
        </w:rPr>
      </w:pPr>
      <w:r>
        <w:rPr>
          <w:rFonts w:hint="eastAsia" w:ascii="宋体" w:hAnsi="宋体" w:cs="宋体"/>
          <w:color w:val="auto"/>
          <w:highlight w:val="none"/>
        </w:rPr>
        <w:t>1.2磋商小组由采购人代表和评审专家两部分（以下简称“评委”）共</w:t>
      </w:r>
      <w:r>
        <w:rPr>
          <w:rFonts w:hint="eastAsia" w:ascii="宋体" w:hAnsi="宋体" w:cs="宋体"/>
          <w:color w:val="auto"/>
          <w:highlight w:val="none"/>
          <w:u w:val="single"/>
        </w:rPr>
        <w:t>3</w:t>
      </w:r>
      <w:r>
        <w:rPr>
          <w:rFonts w:hint="eastAsia" w:ascii="宋体" w:hAnsi="宋体" w:cs="宋体"/>
          <w:color w:val="auto"/>
          <w:highlight w:val="none"/>
        </w:rPr>
        <w:t>人组成，其中：采购人代表</w:t>
      </w:r>
      <w:r>
        <w:rPr>
          <w:rFonts w:hint="eastAsia" w:ascii="宋体" w:hAnsi="宋体" w:cs="宋体"/>
          <w:color w:val="auto"/>
          <w:highlight w:val="none"/>
          <w:u w:val="single"/>
        </w:rPr>
        <w:t>1</w:t>
      </w:r>
      <w:r>
        <w:rPr>
          <w:rFonts w:hint="eastAsia" w:ascii="宋体" w:hAnsi="宋体" w:cs="宋体"/>
          <w:color w:val="auto"/>
          <w:highlight w:val="none"/>
        </w:rPr>
        <w:t>人由采购人派出，评审专家</w:t>
      </w:r>
      <w:r>
        <w:rPr>
          <w:rFonts w:hint="eastAsia" w:ascii="宋体" w:hAnsi="宋体" w:cs="宋体"/>
          <w:color w:val="auto"/>
          <w:highlight w:val="none"/>
          <w:u w:val="single"/>
        </w:rPr>
        <w:t>2</w:t>
      </w:r>
      <w:r>
        <w:rPr>
          <w:rFonts w:hint="eastAsia" w:ascii="宋体" w:hAnsi="宋体" w:cs="宋体"/>
          <w:color w:val="auto"/>
          <w:highlight w:val="none"/>
        </w:rPr>
        <w:t>人由福建省政府采购评审专家库产生。技术复杂、专业性强的采购项目，评审专家中应当包含1名法律专家。</w:t>
      </w:r>
    </w:p>
    <w:p>
      <w:pPr>
        <w:pStyle w:val="11"/>
        <w:widowControl/>
        <w:spacing w:before="75" w:beforeAutospacing="0" w:after="75" w:afterAutospacing="0" w:line="420" w:lineRule="atLeast"/>
        <w:ind w:firstLine="480" w:firstLineChars="200"/>
        <w:rPr>
          <w:color w:val="auto"/>
          <w:highlight w:val="none"/>
        </w:rPr>
      </w:pPr>
      <w:r>
        <w:rPr>
          <w:rFonts w:hint="eastAsia" w:ascii="宋体" w:hAnsi="宋体" w:cs="宋体"/>
          <w:color w:val="auto"/>
          <w:highlight w:val="none"/>
        </w:rPr>
        <w:t>1.3磋商小组负责具体磋商和评审事务，并按照下列原则依法独立履行有关职责：</w:t>
      </w:r>
    </w:p>
    <w:p>
      <w:pPr>
        <w:pStyle w:val="11"/>
        <w:widowControl/>
        <w:spacing w:before="75" w:beforeAutospacing="0" w:after="75" w:afterAutospacing="0" w:line="420" w:lineRule="atLeast"/>
        <w:ind w:firstLine="480" w:firstLineChars="200"/>
        <w:rPr>
          <w:color w:val="auto"/>
          <w:highlight w:val="none"/>
        </w:rPr>
      </w:pPr>
      <w:r>
        <w:rPr>
          <w:rFonts w:hint="eastAsia" w:ascii="宋体" w:hAnsi="宋体" w:cs="宋体"/>
          <w:color w:val="auto"/>
          <w:highlight w:val="none"/>
        </w:rPr>
        <w:t>1.3.1评审应保护国家利益、社会公共利益和各方当事人合法权益，提高采购效益，保证项目质量。</w:t>
      </w:r>
    </w:p>
    <w:p>
      <w:pPr>
        <w:pStyle w:val="11"/>
        <w:widowControl/>
        <w:spacing w:before="75" w:beforeAutospacing="0" w:after="75" w:afterAutospacing="0" w:line="420" w:lineRule="atLeast"/>
        <w:ind w:firstLine="480" w:firstLineChars="200"/>
        <w:rPr>
          <w:color w:val="auto"/>
          <w:highlight w:val="none"/>
        </w:rPr>
      </w:pPr>
      <w:r>
        <w:rPr>
          <w:rFonts w:hint="eastAsia" w:ascii="宋体" w:hAnsi="宋体" w:cs="宋体"/>
          <w:color w:val="auto"/>
          <w:highlight w:val="none"/>
        </w:rPr>
        <w:t>1.3.2评审应遵循公平、公正、科学、严谨和择优原则。</w:t>
      </w:r>
    </w:p>
    <w:p>
      <w:pPr>
        <w:pStyle w:val="11"/>
        <w:widowControl/>
        <w:spacing w:before="75" w:beforeAutospacing="0" w:after="75" w:afterAutospacing="0" w:line="420" w:lineRule="atLeast"/>
        <w:ind w:firstLine="480" w:firstLineChars="200"/>
        <w:rPr>
          <w:color w:val="auto"/>
          <w:highlight w:val="none"/>
        </w:rPr>
      </w:pPr>
      <w:r>
        <w:rPr>
          <w:rFonts w:hint="eastAsia" w:ascii="宋体" w:hAnsi="宋体" w:cs="宋体"/>
          <w:color w:val="auto"/>
          <w:highlight w:val="none"/>
        </w:rPr>
        <w:t>1.3.3评审的依据是磋商文件和响应文件，磋商文件中没有规定的评审标准不得作为评审依据。</w:t>
      </w:r>
    </w:p>
    <w:p>
      <w:pPr>
        <w:pStyle w:val="11"/>
        <w:widowControl/>
        <w:spacing w:before="75" w:beforeAutospacing="0" w:after="75" w:afterAutospacing="0" w:line="420" w:lineRule="atLeast"/>
        <w:ind w:firstLine="480" w:firstLineChars="200"/>
        <w:rPr>
          <w:color w:val="auto"/>
          <w:highlight w:val="none"/>
        </w:rPr>
      </w:pPr>
      <w:r>
        <w:rPr>
          <w:rFonts w:hint="eastAsia" w:ascii="宋体" w:hAnsi="宋体" w:cs="宋体"/>
          <w:color w:val="auto"/>
          <w:highlight w:val="none"/>
        </w:rPr>
        <w:t>1.3.4磋商小组应按照磋商文件规定推荐成交候选供应商或根据采购人的授权确定成交人。</w:t>
      </w:r>
    </w:p>
    <w:p>
      <w:pPr>
        <w:pStyle w:val="11"/>
        <w:widowControl/>
        <w:spacing w:before="75" w:beforeAutospacing="0" w:after="75" w:afterAutospacing="0" w:line="420" w:lineRule="atLeast"/>
        <w:ind w:firstLine="480" w:firstLineChars="200"/>
        <w:rPr>
          <w:color w:val="auto"/>
          <w:highlight w:val="none"/>
        </w:rPr>
      </w:pPr>
      <w:r>
        <w:rPr>
          <w:rFonts w:hint="eastAsia" w:ascii="宋体" w:hAnsi="宋体" w:cs="宋体"/>
          <w:color w:val="auto"/>
          <w:highlight w:val="none"/>
        </w:rPr>
        <w:t>1.3.5评审应遵守下列评审纪律：</w:t>
      </w:r>
    </w:p>
    <w:p>
      <w:pPr>
        <w:pStyle w:val="11"/>
        <w:widowControl/>
        <w:spacing w:before="75" w:beforeAutospacing="0" w:after="75" w:afterAutospacing="0" w:line="420" w:lineRule="atLeast"/>
        <w:ind w:firstLine="480" w:firstLineChars="200"/>
        <w:rPr>
          <w:color w:val="auto"/>
          <w:highlight w:val="none"/>
        </w:rPr>
      </w:pPr>
      <w:r>
        <w:rPr>
          <w:rFonts w:hint="eastAsia" w:ascii="宋体" w:hAnsi="宋体" w:cs="宋体"/>
          <w:color w:val="auto"/>
          <w:highlight w:val="none"/>
        </w:rPr>
        <w:t>①评审情况不得私自外泄，有关信息由采购人或其委托的代理机构统一对外发布。</w:t>
      </w:r>
    </w:p>
    <w:p>
      <w:pPr>
        <w:pStyle w:val="11"/>
        <w:widowControl/>
        <w:spacing w:before="75" w:beforeAutospacing="0" w:after="75" w:afterAutospacing="0" w:line="420" w:lineRule="atLeast"/>
        <w:ind w:firstLine="480" w:firstLineChars="200"/>
        <w:rPr>
          <w:color w:val="auto"/>
          <w:highlight w:val="none"/>
        </w:rPr>
      </w:pPr>
      <w:r>
        <w:rPr>
          <w:rFonts w:hint="eastAsia" w:ascii="宋体" w:hAnsi="宋体" w:cs="宋体"/>
          <w:color w:val="auto"/>
          <w:highlight w:val="none"/>
        </w:rPr>
        <w:t>②对采购人或供应商提供的要求保密的资料，不得摘记翻印和外传。</w:t>
      </w:r>
    </w:p>
    <w:p>
      <w:pPr>
        <w:pStyle w:val="11"/>
        <w:widowControl/>
        <w:spacing w:before="75" w:beforeAutospacing="0" w:after="75" w:afterAutospacing="0" w:line="420" w:lineRule="atLeast"/>
        <w:ind w:firstLine="480" w:firstLineChars="200"/>
        <w:rPr>
          <w:color w:val="auto"/>
          <w:highlight w:val="none"/>
        </w:rPr>
      </w:pPr>
      <w:r>
        <w:rPr>
          <w:rFonts w:hint="eastAsia" w:ascii="宋体" w:hAnsi="宋体" w:cs="宋体"/>
          <w:color w:val="auto"/>
          <w:highlight w:val="none"/>
        </w:rPr>
        <w:t>③不得收受供应商或有关人员的任何礼物，不得串联鼓动其他人袒护某供应商。若与供应商存在利害关系，则应主动声明并回避。</w:t>
      </w:r>
    </w:p>
    <w:p>
      <w:pPr>
        <w:pStyle w:val="11"/>
        <w:widowControl/>
        <w:spacing w:before="75" w:beforeAutospacing="0" w:after="75" w:afterAutospacing="0" w:line="420" w:lineRule="atLeast"/>
        <w:ind w:firstLine="480" w:firstLineChars="200"/>
        <w:rPr>
          <w:color w:val="auto"/>
          <w:highlight w:val="none"/>
        </w:rPr>
      </w:pPr>
      <w:r>
        <w:rPr>
          <w:rFonts w:hint="eastAsia" w:ascii="宋体" w:hAnsi="宋体" w:cs="宋体"/>
          <w:color w:val="auto"/>
          <w:highlight w:val="none"/>
        </w:rPr>
        <w:t>④全体磋商小组成员应按照磋商文件规定进行评审，一切认定事项应查有实据且不得弄虚作假。</w:t>
      </w:r>
    </w:p>
    <w:p>
      <w:pPr>
        <w:pStyle w:val="11"/>
        <w:widowControl/>
        <w:spacing w:before="75" w:beforeAutospacing="0" w:after="75" w:afterAutospacing="0" w:line="420" w:lineRule="atLeast"/>
        <w:ind w:firstLine="480" w:firstLineChars="200"/>
        <w:rPr>
          <w:color w:val="auto"/>
          <w:highlight w:val="none"/>
        </w:rPr>
      </w:pPr>
      <w:r>
        <w:rPr>
          <w:rFonts w:hint="eastAsia" w:ascii="宋体" w:hAnsi="宋体" w:cs="宋体"/>
          <w:color w:val="auto"/>
          <w:highlight w:val="none"/>
        </w:rPr>
        <w:t>⑤评审中应充分发扬民主，推荐成交人候选人或根据采购人授权确定成交人后要服从评审报告。</w:t>
      </w:r>
    </w:p>
    <w:p>
      <w:pPr>
        <w:pStyle w:val="11"/>
        <w:widowControl/>
        <w:spacing w:before="75" w:beforeAutospacing="0" w:after="75" w:afterAutospacing="0" w:line="420" w:lineRule="atLeast"/>
        <w:ind w:firstLine="481" w:firstLineChars="200"/>
        <w:rPr>
          <w:color w:val="auto"/>
          <w:highlight w:val="none"/>
        </w:rPr>
      </w:pPr>
      <w:r>
        <w:rPr>
          <w:rStyle w:val="15"/>
          <w:rFonts w:hint="eastAsia" w:ascii="宋体" w:hAnsi="宋体" w:cs="宋体"/>
          <w:color w:val="auto"/>
          <w:highlight w:val="none"/>
        </w:rPr>
        <w:t>※对违反评审纪律的评委，将取消其评委资格，对评审工作造成严重损失者将予以通报批评乃至追究法律责任。</w:t>
      </w:r>
    </w:p>
    <w:p>
      <w:pPr>
        <w:pStyle w:val="11"/>
        <w:widowControl/>
        <w:spacing w:before="75" w:beforeAutospacing="0" w:after="75" w:afterAutospacing="0" w:line="420" w:lineRule="atLeast"/>
        <w:jc w:val="center"/>
        <w:rPr>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二、</w:t>
      </w:r>
      <w:r>
        <w:rPr>
          <w:rStyle w:val="15"/>
          <w:rFonts w:hint="eastAsia" w:ascii="宋体" w:hAnsi="宋体" w:cs="宋体"/>
          <w:color w:val="auto"/>
          <w:highlight w:val="none"/>
        </w:rPr>
        <w:t>磋商程序</w:t>
      </w:r>
    </w:p>
    <w:p>
      <w:pPr>
        <w:pStyle w:val="11"/>
        <w:widowControl/>
        <w:spacing w:before="75" w:beforeAutospacing="0" w:after="75" w:afterAutospacing="0" w:line="420" w:lineRule="atLeast"/>
        <w:ind w:firstLine="480" w:firstLineChars="200"/>
        <w:rPr>
          <w:color w:val="auto"/>
          <w:highlight w:val="none"/>
        </w:rPr>
      </w:pPr>
      <w:r>
        <w:rPr>
          <w:rFonts w:hint="eastAsia" w:ascii="宋体" w:hAnsi="宋体" w:cs="宋体"/>
          <w:color w:val="auto"/>
          <w:highlight w:val="none"/>
        </w:rPr>
        <w:t>2.1磋商程序按照磋商文件第二章第2节“竞争性磋商须知”第14 条“磋商程序以及评审标准和方法”的相关条款规定执行。</w:t>
      </w:r>
    </w:p>
    <w:p>
      <w:pPr>
        <w:pStyle w:val="11"/>
        <w:widowControl/>
        <w:spacing w:before="75" w:beforeAutospacing="0" w:after="75" w:afterAutospacing="0" w:line="420" w:lineRule="atLeast"/>
        <w:ind w:firstLine="480" w:firstLineChars="200"/>
        <w:rPr>
          <w:color w:val="auto"/>
          <w:highlight w:val="none"/>
        </w:rPr>
      </w:pPr>
      <w:r>
        <w:rPr>
          <w:rFonts w:hint="eastAsia" w:ascii="宋体" w:hAnsi="宋体" w:cs="宋体"/>
          <w:color w:val="auto"/>
          <w:highlight w:val="none"/>
        </w:rPr>
        <w:t>2.2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属于《政府采购竞争性磋商采购方式管理暂行办法》等相关法律法规及财政部门颁布的规范性文件允许的两家供应商进行竞争性磋商采购情形，则提交最后报价的供应商可以为两家。</w:t>
      </w:r>
    </w:p>
    <w:p>
      <w:pPr>
        <w:pStyle w:val="11"/>
        <w:widowControl/>
        <w:spacing w:before="75" w:beforeAutospacing="0" w:after="75" w:afterAutospacing="0" w:line="420" w:lineRule="atLeast"/>
        <w:ind w:firstLine="480" w:firstLineChars="200"/>
        <w:rPr>
          <w:color w:val="auto"/>
          <w:highlight w:val="none"/>
        </w:rPr>
      </w:pPr>
      <w:r>
        <w:rPr>
          <w:color w:val="auto"/>
          <w:highlight w:val="none"/>
        </w:rPr>
        <w:t>无。</w:t>
      </w:r>
    </w:p>
    <w:p>
      <w:pPr>
        <w:pStyle w:val="11"/>
        <w:widowControl/>
        <w:spacing w:before="75" w:beforeAutospacing="0" w:after="75" w:afterAutospacing="0" w:line="420" w:lineRule="atLeast"/>
        <w:ind w:firstLine="480" w:firstLineChars="200"/>
        <w:rPr>
          <w:color w:val="auto"/>
          <w:highlight w:val="none"/>
        </w:rPr>
      </w:pPr>
      <w:r>
        <w:rPr>
          <w:rFonts w:hint="eastAsia" w:ascii="宋体" w:hAnsi="宋体" w:cs="宋体"/>
          <w:color w:val="auto"/>
          <w:highlight w:val="none"/>
        </w:rPr>
        <w:t>2.3只有资格审查和实质性响应审查均合格且按规定提交最后报价的合格供应商才能参加综合评分。</w:t>
      </w:r>
    </w:p>
    <w:p>
      <w:pPr>
        <w:pStyle w:val="11"/>
        <w:widowControl/>
        <w:spacing w:before="75" w:beforeAutospacing="0" w:after="75" w:afterAutospacing="0" w:line="420" w:lineRule="atLeast"/>
        <w:jc w:val="center"/>
        <w:rPr>
          <w:color w:val="auto"/>
          <w:highlight w:val="none"/>
        </w:rPr>
      </w:pPr>
      <w:r>
        <w:rPr>
          <w:rStyle w:val="15"/>
          <w:rFonts w:hint="eastAsia" w:ascii="宋体" w:hAnsi="宋体" w:cs="宋体"/>
          <w:color w:val="auto"/>
          <w:highlight w:val="none"/>
        </w:rPr>
        <w:t>三、综合评分的标准和方法</w:t>
      </w:r>
    </w:p>
    <w:p>
      <w:pPr>
        <w:pStyle w:val="16"/>
        <w:spacing w:before="75" w:after="76" w:line="420" w:lineRule="exact"/>
        <w:ind w:firstLine="480" w:firstLineChars="200"/>
        <w:rPr>
          <w:rFonts w:ascii="宋体" w:hAnsi="宋体" w:cs="宋体"/>
          <w:color w:val="auto"/>
          <w:sz w:val="24"/>
          <w:szCs w:val="24"/>
          <w:highlight w:val="none"/>
          <w:lang w:eastAsia="zh-CN" w:bidi="ar"/>
        </w:rPr>
      </w:pPr>
      <w:r>
        <w:rPr>
          <w:rFonts w:ascii="宋体" w:hAnsi="宋体" w:cs="宋体"/>
          <w:color w:val="auto"/>
          <w:sz w:val="24"/>
          <w:szCs w:val="24"/>
          <w:highlight w:val="none"/>
          <w:lang w:eastAsia="zh-CN" w:bidi="ar"/>
        </w:rPr>
        <w:t>3.1磋商小组将采用综合评分法对提交最后报价的合格供应商的响应文件和最后报价进行综合评分。如果磋商项目有多个采购包，则按相应采购包分别进行，具体综合评分的标准和方法如下：</w:t>
      </w:r>
    </w:p>
    <w:p>
      <w:pPr>
        <w:pStyle w:val="16"/>
        <w:spacing w:before="75" w:after="76" w:line="420" w:lineRule="exact"/>
        <w:ind w:firstLine="480" w:firstLineChars="200"/>
        <w:rPr>
          <w:rFonts w:ascii="宋体" w:hAnsi="宋体" w:cs="宋体"/>
          <w:color w:val="auto"/>
          <w:sz w:val="24"/>
          <w:szCs w:val="24"/>
          <w:highlight w:val="none"/>
          <w:lang w:eastAsia="zh-CN" w:bidi="ar"/>
        </w:rPr>
      </w:pPr>
      <w:r>
        <w:rPr>
          <w:rFonts w:ascii="宋体" w:hAnsi="宋体" w:cs="宋体"/>
          <w:color w:val="auto"/>
          <w:sz w:val="24"/>
          <w:szCs w:val="24"/>
          <w:highlight w:val="none"/>
          <w:lang w:eastAsia="zh-CN" w:bidi="ar"/>
        </w:rPr>
        <w:t>3.3.1磋商小组将对相应采购包提交最后报价的合格供应商从技术、商务及报价部分分别进行评议并评分，并汇总出技术、商务及报价部分的综合得分。各采购包综合得分最高的供应商将被推荐为第一成交候选供应商，综合得分第二高的供应商将被推荐为第二成交候选供应商，综合得分第三高的供应商将被推荐为第三成交候选供应商。如果出现相同的综合得分，则最后报价低的供应商排序在前优先推荐；如果最后报价仍相同，则技术部分得分高的供应商优先排序在前推荐。</w:t>
      </w:r>
    </w:p>
    <w:p>
      <w:pPr>
        <w:pStyle w:val="16"/>
        <w:spacing w:before="75" w:after="76" w:line="420" w:lineRule="exact"/>
        <w:ind w:firstLine="480" w:firstLineChars="200"/>
        <w:rPr>
          <w:rFonts w:ascii="宋体" w:hAnsi="宋体" w:cs="宋体"/>
          <w:color w:val="auto"/>
          <w:sz w:val="24"/>
          <w:szCs w:val="24"/>
          <w:highlight w:val="none"/>
          <w:lang w:eastAsia="zh-CN" w:bidi="ar"/>
        </w:rPr>
      </w:pPr>
      <w:r>
        <w:rPr>
          <w:rFonts w:ascii="宋体" w:hAnsi="宋体" w:cs="宋体"/>
          <w:color w:val="auto"/>
          <w:sz w:val="24"/>
          <w:szCs w:val="24"/>
          <w:highlight w:val="none"/>
          <w:lang w:eastAsia="zh-CN" w:bidi="ar"/>
        </w:rPr>
        <w:t>3.3.2具体评审标准和方法：</w:t>
      </w:r>
    </w:p>
    <w:p>
      <w:pPr>
        <w:pStyle w:val="16"/>
        <w:spacing w:before="75" w:after="76" w:line="420" w:lineRule="exact"/>
        <w:ind w:firstLine="480" w:firstLineChars="200"/>
        <w:rPr>
          <w:rFonts w:ascii="宋体" w:hAnsi="宋体" w:cs="宋体"/>
          <w:color w:val="auto"/>
          <w:sz w:val="24"/>
          <w:szCs w:val="24"/>
          <w:highlight w:val="none"/>
          <w:lang w:eastAsia="zh-CN" w:bidi="ar"/>
        </w:rPr>
      </w:pPr>
      <w:r>
        <w:rPr>
          <w:rFonts w:ascii="宋体" w:hAnsi="宋体" w:cs="宋体"/>
          <w:color w:val="auto"/>
          <w:sz w:val="24"/>
          <w:szCs w:val="24"/>
          <w:highlight w:val="none"/>
          <w:lang w:eastAsia="zh-CN" w:bidi="ar"/>
        </w:rPr>
        <w:t>（1） 响应文件满足磋商文件全部实质性要求，且按照评审因素的量化指标综合评审总得分从高到低顺序推荐3名以上成交候选人供应商，其中评审总得分最高的供应商为第一成交候选供应商。</w:t>
      </w:r>
    </w:p>
    <w:p>
      <w:pPr>
        <w:pStyle w:val="16"/>
        <w:spacing w:before="75" w:after="76" w:line="420" w:lineRule="exact"/>
        <w:ind w:firstLine="480" w:firstLineChars="200"/>
        <w:rPr>
          <w:rFonts w:ascii="宋体" w:hAnsi="宋体" w:cs="宋体"/>
          <w:color w:val="auto"/>
          <w:sz w:val="24"/>
          <w:szCs w:val="24"/>
          <w:highlight w:val="none"/>
          <w:lang w:eastAsia="zh-CN" w:bidi="ar"/>
        </w:rPr>
      </w:pPr>
      <w:r>
        <w:rPr>
          <w:rFonts w:ascii="宋体" w:hAnsi="宋体" w:cs="宋体"/>
          <w:color w:val="auto"/>
          <w:sz w:val="24"/>
          <w:szCs w:val="24"/>
          <w:highlight w:val="none"/>
          <w:lang w:eastAsia="zh-CN" w:bidi="ar"/>
        </w:rPr>
        <w:t>（2）每个供应商的评审总得分FA＝F1×A1＋F2×A2＋F3×A3，其中：F1指价格项评审因素得分、F2指技术项评审因素得分、F3指商务项评审因素得分，A1指价格项评审因素所占的权重、A2指技术项评审因素所占的权重、A3指商务项评审因素所占的权重，A1＋A2＋A3=1、F1×A1＋F2×A2＋F3×A3=100分（满分时）。</w:t>
      </w:r>
    </w:p>
    <w:p>
      <w:pPr>
        <w:pStyle w:val="16"/>
        <w:spacing w:before="75" w:after="76" w:line="420" w:lineRule="exact"/>
        <w:ind w:firstLine="480" w:firstLineChars="200"/>
        <w:rPr>
          <w:rFonts w:ascii="宋体" w:hAnsi="宋体" w:cs="宋体"/>
          <w:color w:val="auto"/>
          <w:sz w:val="24"/>
          <w:szCs w:val="24"/>
          <w:highlight w:val="none"/>
          <w:lang w:eastAsia="zh-CN" w:bidi="ar"/>
        </w:rPr>
      </w:pPr>
      <w:r>
        <w:rPr>
          <w:rFonts w:ascii="宋体" w:hAnsi="宋体" w:cs="宋体"/>
          <w:color w:val="auto"/>
          <w:sz w:val="24"/>
          <w:szCs w:val="24"/>
          <w:highlight w:val="none"/>
          <w:lang w:eastAsia="zh-CN" w:bidi="ar"/>
        </w:rPr>
        <w:t>（3）各项评审因素的设置如下：</w:t>
      </w:r>
    </w:p>
    <w:p>
      <w:pPr>
        <w:pStyle w:val="16"/>
        <w:spacing w:before="75" w:after="76" w:line="420" w:lineRule="exact"/>
        <w:ind w:firstLine="480" w:firstLineChars="200"/>
        <w:rPr>
          <w:rFonts w:ascii="宋体" w:hAnsi="宋体" w:cs="宋体"/>
          <w:color w:val="auto"/>
          <w:sz w:val="24"/>
          <w:szCs w:val="24"/>
          <w:highlight w:val="none"/>
          <w:lang w:eastAsia="zh-CN" w:bidi="ar"/>
        </w:rPr>
      </w:pPr>
      <w:r>
        <w:rPr>
          <w:rFonts w:ascii="宋体" w:hAnsi="宋体" w:cs="宋体"/>
          <w:color w:val="auto"/>
          <w:sz w:val="24"/>
          <w:szCs w:val="24"/>
          <w:highlight w:val="none"/>
          <w:lang w:eastAsia="zh-CN" w:bidi="ar"/>
        </w:rPr>
        <w:t>采购包1：综合评分法</w:t>
      </w:r>
    </w:p>
    <w:p>
      <w:pPr>
        <w:pStyle w:val="16"/>
        <w:spacing w:before="75" w:after="76" w:line="420" w:lineRule="exact"/>
        <w:ind w:firstLine="480" w:firstLineChars="200"/>
        <w:rPr>
          <w:rFonts w:ascii="宋体" w:hAnsi="宋体" w:cs="宋体"/>
          <w:color w:val="auto"/>
          <w:sz w:val="24"/>
          <w:szCs w:val="24"/>
          <w:highlight w:val="none"/>
          <w:lang w:eastAsia="zh-CN" w:bidi="ar"/>
        </w:rPr>
      </w:pPr>
      <w:r>
        <w:rPr>
          <w:rFonts w:ascii="宋体" w:hAnsi="宋体" w:cs="宋体"/>
          <w:color w:val="auto"/>
          <w:sz w:val="24"/>
          <w:szCs w:val="24"/>
          <w:highlight w:val="none"/>
          <w:lang w:eastAsia="zh-CN" w:bidi="ar"/>
        </w:rPr>
        <w:t>各项评审因素的设置如下：</w:t>
      </w:r>
    </w:p>
    <w:p>
      <w:pPr>
        <w:pStyle w:val="11"/>
        <w:widowControl/>
        <w:spacing w:before="75" w:beforeAutospacing="0" w:after="75" w:afterAutospacing="0" w:line="420" w:lineRule="atLeast"/>
        <w:ind w:firstLine="240"/>
        <w:rPr>
          <w:rFonts w:hint="eastAsia" w:ascii="宋体" w:hAnsi="宋体" w:cs="宋体"/>
        </w:rPr>
      </w:pPr>
      <w:r>
        <w:rPr>
          <w:rFonts w:hint="eastAsia" w:ascii="宋体" w:hAnsi="宋体" w:cs="宋体"/>
        </w:rPr>
        <w:t>①价格项（</w:t>
      </w:r>
      <w:r>
        <w:rPr>
          <w:rFonts w:ascii="宋体" w:hAnsi="宋体" w:cs="宋体"/>
        </w:rPr>
        <w:t>F1</w:t>
      </w:r>
      <w:r>
        <w:rPr>
          <w:rFonts w:hint="eastAsia" w:ascii="宋体" w:hAnsi="宋体" w:cs="宋体"/>
        </w:rPr>
        <w:t>×</w:t>
      </w:r>
      <w:r>
        <w:rPr>
          <w:rFonts w:ascii="宋体" w:hAnsi="宋体" w:cs="宋体"/>
        </w:rPr>
        <w:t>A1</w:t>
      </w:r>
      <w:r>
        <w:rPr>
          <w:rFonts w:hint="eastAsia" w:ascii="宋体" w:hAnsi="宋体" w:cs="宋体"/>
        </w:rPr>
        <w:t>）满分为10分。</w:t>
      </w:r>
    </w:p>
    <w:p>
      <w:pPr>
        <w:pStyle w:val="11"/>
        <w:widowControl/>
        <w:spacing w:before="75" w:beforeAutospacing="0" w:after="75" w:afterAutospacing="0" w:line="420" w:lineRule="atLeast"/>
        <w:ind w:firstLine="240"/>
        <w:rPr>
          <w:rFonts w:hint="eastAsia" w:ascii="宋体" w:hAnsi="宋体" w:cs="宋体"/>
        </w:rPr>
      </w:pPr>
      <w:r>
        <w:rPr>
          <w:rFonts w:hint="eastAsia" w:ascii="宋体" w:hAnsi="宋体" w:cs="宋体"/>
        </w:rPr>
        <w:t>a.价格分采用低价优先法计算，即满足招标文件要求且投标价格最低的投标报价为评标基准价，其价格分为满分。其他供应商的价格分统一按照下列公式计算：投标报价得分</w:t>
      </w:r>
      <w:r>
        <w:rPr>
          <w:rFonts w:ascii="宋体" w:hAnsi="宋体" w:cs="宋体"/>
        </w:rPr>
        <w:t>=</w:t>
      </w:r>
      <w:r>
        <w:rPr>
          <w:rFonts w:hint="eastAsia" w:ascii="宋体" w:hAnsi="宋体" w:cs="宋体"/>
        </w:rPr>
        <w:t>（评标基准价／投标报价）×</w:t>
      </w:r>
      <w:r>
        <w:rPr>
          <w:rFonts w:ascii="宋体" w:hAnsi="宋体" w:cs="宋体"/>
        </w:rPr>
        <w:t>100</w:t>
      </w:r>
      <w:r>
        <w:rPr>
          <w:rFonts w:hint="eastAsia" w:ascii="宋体" w:hAnsi="宋体" w:cs="宋体"/>
        </w:rPr>
        <w:t>。</w:t>
      </w:r>
    </w:p>
    <w:p>
      <w:pPr>
        <w:pStyle w:val="11"/>
        <w:widowControl/>
        <w:spacing w:before="75" w:beforeAutospacing="0" w:after="75" w:afterAutospacing="0" w:line="420" w:lineRule="atLeast"/>
        <w:ind w:firstLine="240"/>
        <w:rPr>
          <w:rFonts w:ascii="宋体" w:hAnsi="宋体" w:cs="宋体"/>
        </w:rPr>
      </w:pPr>
      <w:r>
        <w:rPr>
          <w:rFonts w:hint="eastAsia" w:ascii="宋体" w:hAnsi="宋体" w:cs="宋体"/>
        </w:rPr>
        <w:t>②技术项（</w:t>
      </w:r>
      <w:r>
        <w:rPr>
          <w:rFonts w:ascii="宋体" w:hAnsi="宋体" w:cs="宋体"/>
        </w:rPr>
        <w:t>F2</w:t>
      </w:r>
      <w:r>
        <w:rPr>
          <w:rFonts w:hint="eastAsia" w:ascii="宋体" w:hAnsi="宋体" w:cs="宋体"/>
        </w:rPr>
        <w:t>×</w:t>
      </w:r>
      <w:r>
        <w:rPr>
          <w:rFonts w:ascii="宋体" w:hAnsi="宋体" w:cs="宋体"/>
        </w:rPr>
        <w:t>A2</w:t>
      </w:r>
      <w:r>
        <w:rPr>
          <w:rFonts w:hint="eastAsia" w:ascii="宋体" w:hAnsi="宋体" w:cs="宋体"/>
        </w:rPr>
        <w:t>）满分为75分。</w:t>
      </w:r>
    </w:p>
    <w:tbl>
      <w:tblPr>
        <w:tblStyle w:val="13"/>
        <w:tblW w:w="494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54"/>
        <w:gridCol w:w="870"/>
        <w:gridCol w:w="646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54" w:type="dxa"/>
            <w:noWrap w:val="0"/>
            <w:vAlign w:val="top"/>
          </w:tcPr>
          <w:p>
            <w:pPr>
              <w:pStyle w:val="16"/>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项目</w:t>
            </w:r>
          </w:p>
        </w:tc>
        <w:tc>
          <w:tcPr>
            <w:tcW w:w="870" w:type="dxa"/>
            <w:noWrap w:val="0"/>
            <w:vAlign w:val="top"/>
          </w:tcPr>
          <w:p>
            <w:pPr>
              <w:pStyle w:val="16"/>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分值</w:t>
            </w:r>
          </w:p>
        </w:tc>
        <w:tc>
          <w:tcPr>
            <w:tcW w:w="6466" w:type="dxa"/>
            <w:noWrap w:val="0"/>
            <w:vAlign w:val="top"/>
          </w:tcPr>
          <w:p>
            <w:pPr>
              <w:pStyle w:val="16"/>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54" w:type="dxa"/>
            <w:noWrap w:val="0"/>
            <w:vAlign w:val="center"/>
          </w:tcPr>
          <w:p>
            <w:pPr>
              <w:pStyle w:val="16"/>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1、采购要求及内容响应情况</w:t>
            </w:r>
          </w:p>
        </w:tc>
        <w:tc>
          <w:tcPr>
            <w:tcW w:w="870" w:type="dxa"/>
            <w:noWrap w:val="0"/>
            <w:vAlign w:val="center"/>
          </w:tcPr>
          <w:p>
            <w:pPr>
              <w:pStyle w:val="16"/>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48.00</w:t>
            </w:r>
          </w:p>
        </w:tc>
        <w:tc>
          <w:tcPr>
            <w:tcW w:w="6466" w:type="dxa"/>
            <w:noWrap w:val="0"/>
            <w:vAlign w:val="top"/>
          </w:tcPr>
          <w:p>
            <w:pPr>
              <w:pStyle w:val="16"/>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根据磋商文件《第三章 采购内容及要求》的 “二、技术要求”中内容的响应情况由磋商小组进行评分, ①标记为“★”的技术参数要求为不允许负偏离的实质性要求，每负偏离一项均视为投标无效；②标记为“</w:t>
            </w:r>
            <w:r>
              <w:rPr>
                <w:rFonts w:hint="eastAsia" w:ascii="宋体" w:hAnsi="宋体" w:cs="宋体"/>
                <w:kern w:val="0"/>
                <w:sz w:val="24"/>
                <w:szCs w:val="24"/>
                <w:highlight w:val="none"/>
                <w:lang w:val="en-US" w:eastAsia="zh-CN" w:bidi="ar"/>
              </w:rPr>
              <w:t>项号</w:t>
            </w:r>
            <w:r>
              <w:rPr>
                <w:rFonts w:hint="eastAsia" w:ascii="宋体" w:hAnsi="宋体" w:eastAsia="宋体" w:cs="宋体"/>
                <w:kern w:val="0"/>
                <w:sz w:val="24"/>
                <w:szCs w:val="24"/>
                <w:highlight w:val="none"/>
                <w:lang w:val="en-US" w:eastAsia="zh-CN" w:bidi="ar"/>
              </w:rPr>
              <w:t>”的技术参数（共</w:t>
            </w:r>
            <w:r>
              <w:rPr>
                <w:rFonts w:hint="eastAsia" w:ascii="宋体" w:hAnsi="宋体" w:cs="宋体"/>
                <w:kern w:val="0"/>
                <w:sz w:val="24"/>
                <w:szCs w:val="24"/>
                <w:highlight w:val="none"/>
                <w:lang w:val="en-US" w:eastAsia="zh-CN" w:bidi="ar"/>
              </w:rPr>
              <w:t>30</w:t>
            </w:r>
            <w:r>
              <w:rPr>
                <w:rFonts w:hint="eastAsia" w:ascii="宋体" w:hAnsi="宋体" w:eastAsia="宋体" w:cs="宋体"/>
                <w:kern w:val="0"/>
                <w:sz w:val="24"/>
                <w:szCs w:val="24"/>
                <w:highlight w:val="none"/>
                <w:lang w:val="en-US" w:eastAsia="zh-CN" w:bidi="ar"/>
              </w:rPr>
              <w:t>项），每完全满足一项得</w:t>
            </w:r>
            <w:r>
              <w:rPr>
                <w:rFonts w:hint="eastAsia" w:ascii="宋体" w:hAnsi="宋体" w:cs="宋体"/>
                <w:kern w:val="0"/>
                <w:sz w:val="24"/>
                <w:szCs w:val="24"/>
                <w:highlight w:val="none"/>
                <w:lang w:val="en-US" w:eastAsia="zh-CN" w:bidi="ar"/>
              </w:rPr>
              <w:t>1.6</w:t>
            </w:r>
            <w:r>
              <w:rPr>
                <w:rFonts w:hint="eastAsia" w:ascii="宋体" w:hAnsi="宋体" w:eastAsia="宋体" w:cs="宋体"/>
                <w:kern w:val="0"/>
                <w:sz w:val="24"/>
                <w:szCs w:val="24"/>
                <w:highlight w:val="none"/>
                <w:lang w:val="en-US" w:eastAsia="zh-CN" w:bidi="ar"/>
              </w:rPr>
              <w:t>分。【注：磋商文件中技术指标若有要求供应商提供相应佐证材料的，供应商未提供相应佐证材料或者供应商的响应承诺与其佐证材料不一致的，磋商小组将以不利于供应商的内容为准进行评审（负偏离）】。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54" w:type="dxa"/>
            <w:noWrap w:val="0"/>
            <w:vAlign w:val="center"/>
          </w:tcPr>
          <w:p>
            <w:pPr>
              <w:pStyle w:val="16"/>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2、项目特点分析总体概述</w:t>
            </w:r>
          </w:p>
        </w:tc>
        <w:tc>
          <w:tcPr>
            <w:tcW w:w="870" w:type="dxa"/>
            <w:noWrap w:val="0"/>
            <w:vAlign w:val="center"/>
          </w:tcPr>
          <w:p>
            <w:pPr>
              <w:pStyle w:val="16"/>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3.00</w:t>
            </w:r>
          </w:p>
        </w:tc>
        <w:tc>
          <w:tcPr>
            <w:tcW w:w="6466" w:type="dxa"/>
            <w:noWrap w:val="0"/>
            <w:vAlign w:val="top"/>
          </w:tcPr>
          <w:p>
            <w:pPr>
              <w:pStyle w:val="16"/>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2、项目特点分析总体概述 根据供应商针对本项目提供的工程概况及特点分析总体概述（包括但不限于本项目重难点的分析及解决对策、施工平面部署等方面），由磋商小组进行评分：方案在满足基本要求基础上增加有利于项目实施方案内容的得3分，只是满足基本要求的得2</w:t>
            </w:r>
            <w:r>
              <w:rPr>
                <w:rFonts w:hint="eastAsia" w:ascii="宋体" w:hAnsi="宋体" w:cs="宋体"/>
                <w:kern w:val="0"/>
                <w:sz w:val="24"/>
                <w:szCs w:val="24"/>
                <w:lang w:val="en-US" w:eastAsia="zh-CN" w:bidi="ar"/>
              </w:rPr>
              <w:t>.8</w:t>
            </w:r>
            <w:r>
              <w:rPr>
                <w:rFonts w:hint="eastAsia" w:ascii="宋体" w:hAnsi="宋体" w:eastAsia="宋体" w:cs="宋体"/>
                <w:kern w:val="0"/>
                <w:sz w:val="24"/>
                <w:szCs w:val="24"/>
                <w:lang w:val="en-US" w:eastAsia="zh-CN" w:bidi="ar"/>
              </w:rPr>
              <w:t>分，要点有缺漏或仅笼统描述的得</w:t>
            </w:r>
            <w:r>
              <w:rPr>
                <w:rFonts w:hint="eastAsia" w:ascii="宋体" w:hAnsi="宋体" w:cs="宋体"/>
                <w:kern w:val="0"/>
                <w:sz w:val="24"/>
                <w:szCs w:val="24"/>
                <w:lang w:val="en-US" w:eastAsia="zh-CN" w:bidi="ar"/>
              </w:rPr>
              <w:t>2.6</w:t>
            </w:r>
            <w:r>
              <w:rPr>
                <w:rFonts w:hint="eastAsia" w:ascii="宋体" w:hAnsi="宋体" w:eastAsia="宋体" w:cs="宋体"/>
                <w:kern w:val="0"/>
                <w:sz w:val="24"/>
                <w:szCs w:val="24"/>
                <w:lang w:val="en-US" w:eastAsia="zh-CN" w:bidi="ar"/>
              </w:rPr>
              <w:t>分，未提供方案的不得分。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854" w:type="dxa"/>
            <w:noWrap w:val="0"/>
            <w:vAlign w:val="center"/>
          </w:tcPr>
          <w:p>
            <w:pPr>
              <w:pStyle w:val="16"/>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3、施工组织方案</w:t>
            </w:r>
          </w:p>
        </w:tc>
        <w:tc>
          <w:tcPr>
            <w:tcW w:w="870" w:type="dxa"/>
            <w:noWrap w:val="0"/>
            <w:vAlign w:val="center"/>
          </w:tcPr>
          <w:p>
            <w:pPr>
              <w:pStyle w:val="16"/>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3.00</w:t>
            </w:r>
          </w:p>
        </w:tc>
        <w:tc>
          <w:tcPr>
            <w:tcW w:w="6466" w:type="dxa"/>
            <w:noWrap w:val="0"/>
            <w:vAlign w:val="top"/>
          </w:tcPr>
          <w:p>
            <w:pPr>
              <w:pStyle w:val="16"/>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根据供应商针对本项目提供的施工组织方案（包括但不限于明确项目管理的总体安排、岗位设置及相应的规章制度、工程施工管理等方面），由磋商小组进行评分：方案在满足基本要求基础上增加有利于项目实施方案内容的得3分，只是满足基本要求的得2</w:t>
            </w:r>
            <w:r>
              <w:rPr>
                <w:rFonts w:hint="eastAsia" w:ascii="宋体" w:hAnsi="宋体" w:cs="宋体"/>
                <w:kern w:val="0"/>
                <w:sz w:val="24"/>
                <w:szCs w:val="24"/>
                <w:lang w:val="en-US" w:eastAsia="zh-CN" w:bidi="ar"/>
              </w:rPr>
              <w:t>.8</w:t>
            </w:r>
            <w:r>
              <w:rPr>
                <w:rFonts w:hint="eastAsia" w:ascii="宋体" w:hAnsi="宋体" w:eastAsia="宋体" w:cs="宋体"/>
                <w:kern w:val="0"/>
                <w:sz w:val="24"/>
                <w:szCs w:val="24"/>
                <w:lang w:val="en-US" w:eastAsia="zh-CN" w:bidi="ar"/>
              </w:rPr>
              <w:t>分，要点有缺漏或仅笼统描述的得</w:t>
            </w:r>
            <w:r>
              <w:rPr>
                <w:rFonts w:hint="eastAsia" w:ascii="宋体" w:hAnsi="宋体" w:cs="宋体"/>
                <w:kern w:val="0"/>
                <w:sz w:val="24"/>
                <w:szCs w:val="24"/>
                <w:lang w:val="en-US" w:eastAsia="zh-CN" w:bidi="ar"/>
              </w:rPr>
              <w:t>2.6</w:t>
            </w:r>
            <w:r>
              <w:rPr>
                <w:rFonts w:hint="eastAsia" w:ascii="宋体" w:hAnsi="宋体" w:eastAsia="宋体" w:cs="宋体"/>
                <w:kern w:val="0"/>
                <w:sz w:val="24"/>
                <w:szCs w:val="24"/>
                <w:lang w:val="en-US" w:eastAsia="zh-CN" w:bidi="ar"/>
              </w:rPr>
              <w:t>分，未提供方案的不得分。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54" w:type="dxa"/>
            <w:noWrap w:val="0"/>
            <w:vAlign w:val="center"/>
          </w:tcPr>
          <w:p>
            <w:pPr>
              <w:pStyle w:val="16"/>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4、应急方案</w:t>
            </w:r>
          </w:p>
        </w:tc>
        <w:tc>
          <w:tcPr>
            <w:tcW w:w="870" w:type="dxa"/>
            <w:noWrap w:val="0"/>
            <w:vAlign w:val="center"/>
          </w:tcPr>
          <w:p>
            <w:pPr>
              <w:pStyle w:val="16"/>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3.00</w:t>
            </w:r>
          </w:p>
        </w:tc>
        <w:tc>
          <w:tcPr>
            <w:tcW w:w="6466" w:type="dxa"/>
            <w:noWrap w:val="0"/>
            <w:vAlign w:val="top"/>
          </w:tcPr>
          <w:p>
            <w:pPr>
              <w:pStyle w:val="16"/>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根据各供应商提供的应急方案的完善、合理性由磋商小组进行评分：方案在满足基本要求基础上增加有利于项目实施方案内容的得3分，只是满足基本要求的得2</w:t>
            </w:r>
            <w:r>
              <w:rPr>
                <w:rFonts w:hint="eastAsia" w:ascii="宋体" w:hAnsi="宋体" w:cs="宋体"/>
                <w:kern w:val="0"/>
                <w:sz w:val="24"/>
                <w:szCs w:val="24"/>
                <w:lang w:val="en-US" w:eastAsia="zh-CN" w:bidi="ar"/>
              </w:rPr>
              <w:t>.8</w:t>
            </w:r>
            <w:r>
              <w:rPr>
                <w:rFonts w:hint="eastAsia" w:ascii="宋体" w:hAnsi="宋体" w:eastAsia="宋体" w:cs="宋体"/>
                <w:kern w:val="0"/>
                <w:sz w:val="24"/>
                <w:szCs w:val="24"/>
                <w:lang w:val="en-US" w:eastAsia="zh-CN" w:bidi="ar"/>
              </w:rPr>
              <w:t>分，要点有缺漏或仅笼统描述的得</w:t>
            </w:r>
            <w:r>
              <w:rPr>
                <w:rFonts w:hint="eastAsia" w:ascii="宋体" w:hAnsi="宋体" w:cs="宋体"/>
                <w:kern w:val="0"/>
                <w:sz w:val="24"/>
                <w:szCs w:val="24"/>
                <w:lang w:val="en-US" w:eastAsia="zh-CN" w:bidi="ar"/>
              </w:rPr>
              <w:t>2.6</w:t>
            </w:r>
            <w:r>
              <w:rPr>
                <w:rFonts w:hint="eastAsia" w:ascii="宋体" w:hAnsi="宋体" w:eastAsia="宋体" w:cs="宋体"/>
                <w:kern w:val="0"/>
                <w:sz w:val="24"/>
                <w:szCs w:val="24"/>
                <w:lang w:val="en-US" w:eastAsia="zh-CN" w:bidi="ar"/>
              </w:rPr>
              <w:t>分，未提供方案的不得分。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54" w:type="dxa"/>
            <w:noWrap w:val="0"/>
            <w:vAlign w:val="center"/>
          </w:tcPr>
          <w:p>
            <w:pPr>
              <w:pStyle w:val="16"/>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5、安全管理、文明施工方案</w:t>
            </w:r>
          </w:p>
        </w:tc>
        <w:tc>
          <w:tcPr>
            <w:tcW w:w="870" w:type="dxa"/>
            <w:noWrap w:val="0"/>
            <w:vAlign w:val="center"/>
          </w:tcPr>
          <w:p>
            <w:pPr>
              <w:pStyle w:val="16"/>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3.00</w:t>
            </w:r>
          </w:p>
        </w:tc>
        <w:tc>
          <w:tcPr>
            <w:tcW w:w="6466" w:type="dxa"/>
            <w:noWrap w:val="0"/>
            <w:vAlign w:val="top"/>
          </w:tcPr>
          <w:p>
            <w:pPr>
              <w:pStyle w:val="16"/>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根据各供应商提供的安全管理、文明施工方案的完善、合理性由磋商小组进行评分：方案在满足基本要求基础上增加有利于项目实施方案内容的得3分，只是满足基本要求的得2</w:t>
            </w:r>
            <w:r>
              <w:rPr>
                <w:rFonts w:hint="eastAsia" w:ascii="宋体" w:hAnsi="宋体" w:cs="宋体"/>
                <w:kern w:val="0"/>
                <w:sz w:val="24"/>
                <w:szCs w:val="24"/>
                <w:lang w:val="en-US" w:eastAsia="zh-CN" w:bidi="ar"/>
              </w:rPr>
              <w:t>.8</w:t>
            </w:r>
            <w:r>
              <w:rPr>
                <w:rFonts w:hint="eastAsia" w:ascii="宋体" w:hAnsi="宋体" w:eastAsia="宋体" w:cs="宋体"/>
                <w:kern w:val="0"/>
                <w:sz w:val="24"/>
                <w:szCs w:val="24"/>
                <w:lang w:val="en-US" w:eastAsia="zh-CN" w:bidi="ar"/>
              </w:rPr>
              <w:t>分，要点有缺漏或仅笼统描述的得</w:t>
            </w:r>
            <w:r>
              <w:rPr>
                <w:rFonts w:hint="eastAsia" w:ascii="宋体" w:hAnsi="宋体" w:cs="宋体"/>
                <w:kern w:val="0"/>
                <w:sz w:val="24"/>
                <w:szCs w:val="24"/>
                <w:lang w:val="en-US" w:eastAsia="zh-CN" w:bidi="ar"/>
              </w:rPr>
              <w:t>2.6</w:t>
            </w:r>
            <w:r>
              <w:rPr>
                <w:rFonts w:hint="eastAsia" w:ascii="宋体" w:hAnsi="宋体" w:eastAsia="宋体" w:cs="宋体"/>
                <w:kern w:val="0"/>
                <w:sz w:val="24"/>
                <w:szCs w:val="24"/>
                <w:lang w:val="en-US" w:eastAsia="zh-CN" w:bidi="ar"/>
              </w:rPr>
              <w:t>分，未提供方案的不得分。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54" w:type="dxa"/>
            <w:noWrap w:val="0"/>
            <w:vAlign w:val="center"/>
          </w:tcPr>
          <w:p>
            <w:pPr>
              <w:pStyle w:val="16"/>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6、技术组织措施</w:t>
            </w:r>
          </w:p>
        </w:tc>
        <w:tc>
          <w:tcPr>
            <w:tcW w:w="870" w:type="dxa"/>
            <w:noWrap w:val="0"/>
            <w:vAlign w:val="center"/>
          </w:tcPr>
          <w:p>
            <w:pPr>
              <w:pStyle w:val="16"/>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3.00</w:t>
            </w:r>
          </w:p>
        </w:tc>
        <w:tc>
          <w:tcPr>
            <w:tcW w:w="6466" w:type="dxa"/>
            <w:noWrap w:val="0"/>
            <w:vAlign w:val="top"/>
          </w:tcPr>
          <w:p>
            <w:pPr>
              <w:pStyle w:val="16"/>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根据各供应商提供的实际情况编制技术组织措施的完善、合理性由磋商小组进行评分：方案在满足基本要求基础上增加有利于项目实施方案内容的得3分，只是满足基本要求的得2</w:t>
            </w:r>
            <w:r>
              <w:rPr>
                <w:rFonts w:hint="eastAsia" w:ascii="宋体" w:hAnsi="宋体" w:cs="宋体"/>
                <w:kern w:val="0"/>
                <w:sz w:val="24"/>
                <w:szCs w:val="24"/>
                <w:lang w:val="en-US" w:eastAsia="zh-CN" w:bidi="ar"/>
              </w:rPr>
              <w:t>.85</w:t>
            </w:r>
            <w:r>
              <w:rPr>
                <w:rFonts w:hint="eastAsia" w:ascii="宋体" w:hAnsi="宋体" w:eastAsia="宋体" w:cs="宋体"/>
                <w:kern w:val="0"/>
                <w:sz w:val="24"/>
                <w:szCs w:val="24"/>
                <w:lang w:val="en-US" w:eastAsia="zh-CN" w:bidi="ar"/>
              </w:rPr>
              <w:t>分，要点有缺漏或仅笼统描述的得</w:t>
            </w:r>
            <w:r>
              <w:rPr>
                <w:rFonts w:hint="eastAsia" w:ascii="宋体" w:hAnsi="宋体" w:cs="宋体"/>
                <w:kern w:val="0"/>
                <w:sz w:val="24"/>
                <w:szCs w:val="24"/>
                <w:lang w:val="en-US" w:eastAsia="zh-CN" w:bidi="ar"/>
              </w:rPr>
              <w:t>2.7</w:t>
            </w:r>
            <w:r>
              <w:rPr>
                <w:rFonts w:hint="eastAsia" w:ascii="宋体" w:hAnsi="宋体" w:eastAsia="宋体" w:cs="宋体"/>
                <w:kern w:val="0"/>
                <w:sz w:val="24"/>
                <w:szCs w:val="24"/>
                <w:lang w:val="en-US" w:eastAsia="zh-CN" w:bidi="ar"/>
              </w:rPr>
              <w:t>分，未提供方案的不得分。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854" w:type="dxa"/>
            <w:noWrap w:val="0"/>
            <w:vAlign w:val="center"/>
          </w:tcPr>
          <w:p>
            <w:pPr>
              <w:pStyle w:val="16"/>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7、施工进度计划</w:t>
            </w:r>
          </w:p>
        </w:tc>
        <w:tc>
          <w:tcPr>
            <w:tcW w:w="870" w:type="dxa"/>
            <w:noWrap w:val="0"/>
            <w:vAlign w:val="center"/>
          </w:tcPr>
          <w:p>
            <w:pPr>
              <w:pStyle w:val="16"/>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3.00</w:t>
            </w:r>
          </w:p>
        </w:tc>
        <w:tc>
          <w:tcPr>
            <w:tcW w:w="6466" w:type="dxa"/>
            <w:noWrap w:val="0"/>
            <w:vAlign w:val="top"/>
          </w:tcPr>
          <w:p>
            <w:pPr>
              <w:pStyle w:val="16"/>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根据各供应商按照磋商文件规定的工期，编制施工进度计划的完善、合理性由磋商小组进行评分：方案在满足基本要求基础上增加有利于项目实施方案内容的得3分，只是满足基本要求的得2</w:t>
            </w:r>
            <w:r>
              <w:rPr>
                <w:rFonts w:hint="eastAsia" w:ascii="宋体" w:hAnsi="宋体" w:cs="宋体"/>
                <w:kern w:val="0"/>
                <w:sz w:val="24"/>
                <w:szCs w:val="24"/>
                <w:lang w:val="en-US" w:eastAsia="zh-CN" w:bidi="ar"/>
              </w:rPr>
              <w:t>.85</w:t>
            </w:r>
            <w:r>
              <w:rPr>
                <w:rFonts w:hint="eastAsia" w:ascii="宋体" w:hAnsi="宋体" w:eastAsia="宋体" w:cs="宋体"/>
                <w:kern w:val="0"/>
                <w:sz w:val="24"/>
                <w:szCs w:val="24"/>
                <w:lang w:val="en-US" w:eastAsia="zh-CN" w:bidi="ar"/>
              </w:rPr>
              <w:t>分，要点有缺漏或仅笼统描述的得</w:t>
            </w:r>
            <w:r>
              <w:rPr>
                <w:rFonts w:hint="eastAsia" w:ascii="宋体" w:hAnsi="宋体" w:cs="宋体"/>
                <w:kern w:val="0"/>
                <w:sz w:val="24"/>
                <w:szCs w:val="24"/>
                <w:lang w:val="en-US" w:eastAsia="zh-CN" w:bidi="ar"/>
              </w:rPr>
              <w:t>2.7</w:t>
            </w:r>
            <w:r>
              <w:rPr>
                <w:rFonts w:hint="eastAsia" w:ascii="宋体" w:hAnsi="宋体" w:eastAsia="宋体" w:cs="宋体"/>
                <w:kern w:val="0"/>
                <w:sz w:val="24"/>
                <w:szCs w:val="24"/>
                <w:lang w:val="en-US" w:eastAsia="zh-CN" w:bidi="ar"/>
              </w:rPr>
              <w:t>分，未提供方案的不得分。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54" w:type="dxa"/>
            <w:noWrap w:val="0"/>
            <w:vAlign w:val="center"/>
          </w:tcPr>
          <w:p>
            <w:pPr>
              <w:pStyle w:val="16"/>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8、卫生清扫方案</w:t>
            </w:r>
          </w:p>
        </w:tc>
        <w:tc>
          <w:tcPr>
            <w:tcW w:w="870" w:type="dxa"/>
            <w:noWrap w:val="0"/>
            <w:vAlign w:val="center"/>
          </w:tcPr>
          <w:p>
            <w:pPr>
              <w:pStyle w:val="16"/>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3.00</w:t>
            </w:r>
          </w:p>
        </w:tc>
        <w:tc>
          <w:tcPr>
            <w:tcW w:w="6466" w:type="dxa"/>
            <w:noWrap w:val="0"/>
            <w:vAlign w:val="center"/>
          </w:tcPr>
          <w:p>
            <w:pPr>
              <w:pStyle w:val="16"/>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根据供应商提供的本项目卫生清扫方案（方案内容包括但不限于：人员安排，时间安排等）对磋商文件的响应及技术支撑情况,由磋商小组进行评分：方案在满足基本要求基础上增加有利于项目实施方案内容的得3分，只是满足基本要求的得2</w:t>
            </w:r>
            <w:r>
              <w:rPr>
                <w:rFonts w:hint="eastAsia" w:ascii="宋体" w:hAnsi="宋体" w:cs="宋体"/>
                <w:kern w:val="0"/>
                <w:sz w:val="24"/>
                <w:szCs w:val="24"/>
                <w:lang w:val="en-US" w:eastAsia="zh-CN" w:bidi="ar"/>
              </w:rPr>
              <w:t>.9</w:t>
            </w:r>
            <w:r>
              <w:rPr>
                <w:rFonts w:hint="eastAsia" w:ascii="宋体" w:hAnsi="宋体" w:eastAsia="宋体" w:cs="宋体"/>
                <w:kern w:val="0"/>
                <w:sz w:val="24"/>
                <w:szCs w:val="24"/>
                <w:lang w:val="en-US" w:eastAsia="zh-CN" w:bidi="ar"/>
              </w:rPr>
              <w:t>分，未</w:t>
            </w:r>
            <w:r>
              <w:rPr>
                <w:rFonts w:hint="eastAsia" w:ascii="宋体" w:hAnsi="宋体" w:eastAsia="宋体" w:cs="宋体"/>
                <w:kern w:val="0"/>
                <w:sz w:val="24"/>
                <w:szCs w:val="24"/>
                <w:highlight w:val="none"/>
                <w:lang w:val="en-US" w:eastAsia="zh-CN" w:bidi="ar"/>
              </w:rPr>
              <w:t>完全响应基本要求存在缺项的得</w:t>
            </w:r>
            <w:r>
              <w:rPr>
                <w:rFonts w:hint="eastAsia" w:ascii="宋体" w:hAnsi="宋体" w:cs="宋体"/>
                <w:kern w:val="0"/>
                <w:sz w:val="24"/>
                <w:szCs w:val="24"/>
                <w:highlight w:val="none"/>
                <w:lang w:val="en-US" w:eastAsia="zh-CN" w:bidi="ar"/>
              </w:rPr>
              <w:t>2.8</w:t>
            </w:r>
            <w:r>
              <w:rPr>
                <w:rFonts w:hint="eastAsia" w:ascii="宋体" w:hAnsi="宋体" w:eastAsia="宋体" w:cs="宋体"/>
                <w:kern w:val="0"/>
                <w:sz w:val="24"/>
                <w:szCs w:val="24"/>
                <w:highlight w:val="none"/>
                <w:lang w:val="en-US" w:eastAsia="zh-CN" w:bidi="ar"/>
              </w:rPr>
              <w:t>分，未提供方案的不得分。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54" w:type="dxa"/>
            <w:noWrap w:val="0"/>
            <w:vAlign w:val="center"/>
          </w:tcPr>
          <w:p>
            <w:pPr>
              <w:pStyle w:val="16"/>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9、工程资料的编制及管理</w:t>
            </w:r>
          </w:p>
        </w:tc>
        <w:tc>
          <w:tcPr>
            <w:tcW w:w="870" w:type="dxa"/>
            <w:noWrap w:val="0"/>
            <w:vAlign w:val="center"/>
          </w:tcPr>
          <w:p>
            <w:pPr>
              <w:pStyle w:val="16"/>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3.00</w:t>
            </w:r>
          </w:p>
        </w:tc>
        <w:tc>
          <w:tcPr>
            <w:tcW w:w="6466" w:type="dxa"/>
            <w:noWrap w:val="0"/>
            <w:vAlign w:val="center"/>
          </w:tcPr>
          <w:p>
            <w:pPr>
              <w:pStyle w:val="16"/>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根据供应商提供的工程资料的编制及管理方案（包括但不限于工程资料整理、竣工验收、工程竣工资料交付等），由磋商小组进行评分：完整、清晰阐述以上基本内容同时增加有利于项目实施的其他方案的得3分；只完整、清晰阐述以上基本内容的得2</w:t>
            </w:r>
            <w:r>
              <w:rPr>
                <w:rFonts w:hint="eastAsia" w:ascii="宋体" w:hAnsi="宋体" w:cs="宋体"/>
                <w:kern w:val="0"/>
                <w:sz w:val="24"/>
                <w:szCs w:val="24"/>
                <w:lang w:val="en-US" w:eastAsia="zh-CN" w:bidi="ar"/>
              </w:rPr>
              <w:t>.9</w:t>
            </w:r>
            <w:r>
              <w:rPr>
                <w:rFonts w:hint="eastAsia" w:ascii="宋体" w:hAnsi="宋体" w:eastAsia="宋体" w:cs="宋体"/>
                <w:kern w:val="0"/>
                <w:sz w:val="24"/>
                <w:szCs w:val="24"/>
                <w:lang w:val="en-US" w:eastAsia="zh-CN" w:bidi="ar"/>
              </w:rPr>
              <w:t>分；未完整提供以上基本内容的得</w:t>
            </w:r>
            <w:r>
              <w:rPr>
                <w:rFonts w:hint="eastAsia" w:ascii="宋体" w:hAnsi="宋体" w:cs="宋体"/>
                <w:kern w:val="0"/>
                <w:sz w:val="24"/>
                <w:szCs w:val="24"/>
                <w:lang w:val="en-US" w:eastAsia="zh-CN" w:bidi="ar"/>
              </w:rPr>
              <w:t>2.8</w:t>
            </w:r>
            <w:r>
              <w:rPr>
                <w:rFonts w:hint="eastAsia" w:ascii="宋体" w:hAnsi="宋体" w:eastAsia="宋体" w:cs="宋体"/>
                <w:kern w:val="0"/>
                <w:sz w:val="24"/>
                <w:szCs w:val="24"/>
                <w:lang w:val="en-US" w:eastAsia="zh-CN" w:bidi="ar"/>
              </w:rPr>
              <w:t>分；未提供的不得分。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54" w:type="dxa"/>
            <w:noWrap w:val="0"/>
            <w:vAlign w:val="center"/>
          </w:tcPr>
          <w:p>
            <w:pPr>
              <w:pStyle w:val="16"/>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10、施工材料质量保障情况</w:t>
            </w:r>
          </w:p>
        </w:tc>
        <w:tc>
          <w:tcPr>
            <w:tcW w:w="870" w:type="dxa"/>
            <w:noWrap w:val="0"/>
            <w:vAlign w:val="center"/>
          </w:tcPr>
          <w:p>
            <w:pPr>
              <w:pStyle w:val="16"/>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3.00</w:t>
            </w:r>
          </w:p>
        </w:tc>
        <w:tc>
          <w:tcPr>
            <w:tcW w:w="6466" w:type="dxa"/>
            <w:noWrap w:val="0"/>
            <w:vAlign w:val="top"/>
          </w:tcPr>
          <w:p>
            <w:pPr>
              <w:pStyle w:val="16"/>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根据供应商所提供的施工材料进场安排是否合理，施工材料来源的合法性，原材的品质的来源等措施情况，由磋商小组进行评议：方案在满足基本要求基础上增加有利于项目实施方案内容的得3分，只是满足基本要求的得2</w:t>
            </w:r>
            <w:r>
              <w:rPr>
                <w:rFonts w:hint="eastAsia" w:ascii="宋体" w:hAnsi="宋体" w:cs="宋体"/>
                <w:kern w:val="0"/>
                <w:sz w:val="24"/>
                <w:szCs w:val="24"/>
                <w:lang w:val="en-US" w:eastAsia="zh-CN" w:bidi="ar"/>
              </w:rPr>
              <w:t>.9</w:t>
            </w:r>
            <w:r>
              <w:rPr>
                <w:rFonts w:hint="eastAsia" w:ascii="宋体" w:hAnsi="宋体" w:eastAsia="宋体" w:cs="宋体"/>
                <w:kern w:val="0"/>
                <w:sz w:val="24"/>
                <w:szCs w:val="24"/>
                <w:lang w:val="en-US" w:eastAsia="zh-CN" w:bidi="ar"/>
              </w:rPr>
              <w:t>分，要点有缺漏或仅笼统描述的得</w:t>
            </w:r>
            <w:r>
              <w:rPr>
                <w:rFonts w:hint="eastAsia" w:ascii="宋体" w:hAnsi="宋体" w:cs="宋体"/>
                <w:kern w:val="0"/>
                <w:sz w:val="24"/>
                <w:szCs w:val="24"/>
                <w:lang w:val="en-US" w:eastAsia="zh-CN" w:bidi="ar"/>
              </w:rPr>
              <w:t>2.8</w:t>
            </w:r>
            <w:r>
              <w:rPr>
                <w:rFonts w:hint="eastAsia" w:ascii="宋体" w:hAnsi="宋体" w:eastAsia="宋体" w:cs="宋体"/>
                <w:kern w:val="0"/>
                <w:sz w:val="24"/>
                <w:szCs w:val="24"/>
                <w:lang w:val="en-US" w:eastAsia="zh-CN" w:bidi="ar"/>
              </w:rPr>
              <w:t>分，未提供或不符合要求的本项不得分。</w:t>
            </w:r>
          </w:p>
        </w:tc>
      </w:tr>
    </w:tbl>
    <w:p>
      <w:pPr>
        <w:pStyle w:val="11"/>
        <w:widowControl/>
        <w:spacing w:before="75" w:beforeAutospacing="0" w:after="75" w:afterAutospacing="0" w:line="420" w:lineRule="atLeast"/>
        <w:ind w:firstLine="240"/>
        <w:rPr>
          <w:rFonts w:hint="eastAsia" w:ascii="宋体" w:hAnsi="宋体" w:cs="宋体"/>
        </w:rPr>
      </w:pPr>
      <w:r>
        <w:rPr>
          <w:rFonts w:hint="eastAsia" w:ascii="宋体" w:hAnsi="宋体" w:cs="宋体"/>
        </w:rPr>
        <w:t>③商务项（</w:t>
      </w:r>
      <w:r>
        <w:rPr>
          <w:rFonts w:ascii="宋体" w:hAnsi="宋体" w:cs="宋体"/>
        </w:rPr>
        <w:t>F3</w:t>
      </w:r>
      <w:r>
        <w:rPr>
          <w:rFonts w:hint="eastAsia" w:ascii="宋体" w:hAnsi="宋体" w:cs="宋体"/>
        </w:rPr>
        <w:t>×</w:t>
      </w:r>
      <w:r>
        <w:rPr>
          <w:rFonts w:ascii="宋体" w:hAnsi="宋体" w:cs="宋体"/>
        </w:rPr>
        <w:t>A3</w:t>
      </w:r>
      <w:r>
        <w:rPr>
          <w:rFonts w:hint="eastAsia" w:ascii="宋体" w:hAnsi="宋体" w:cs="宋体"/>
        </w:rPr>
        <w:t>）满分为15分。</w:t>
      </w:r>
    </w:p>
    <w:tbl>
      <w:tblPr>
        <w:tblStyle w:val="13"/>
        <w:tblW w:w="494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22"/>
        <w:gridCol w:w="917"/>
        <w:gridCol w:w="645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22" w:type="dxa"/>
            <w:noWrap w:val="0"/>
            <w:vAlign w:val="top"/>
          </w:tcPr>
          <w:p>
            <w:pPr>
              <w:pStyle w:val="16"/>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项目</w:t>
            </w:r>
          </w:p>
        </w:tc>
        <w:tc>
          <w:tcPr>
            <w:tcW w:w="917" w:type="dxa"/>
            <w:noWrap w:val="0"/>
            <w:vAlign w:val="top"/>
          </w:tcPr>
          <w:p>
            <w:pPr>
              <w:pStyle w:val="16"/>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分值</w:t>
            </w:r>
          </w:p>
        </w:tc>
        <w:tc>
          <w:tcPr>
            <w:tcW w:w="6451" w:type="dxa"/>
            <w:noWrap w:val="0"/>
            <w:vAlign w:val="top"/>
          </w:tcPr>
          <w:p>
            <w:pPr>
              <w:pStyle w:val="16"/>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22" w:type="dxa"/>
            <w:noWrap w:val="0"/>
            <w:vAlign w:val="center"/>
          </w:tcPr>
          <w:p>
            <w:pPr>
              <w:pStyle w:val="16"/>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1、安全责任承诺</w:t>
            </w:r>
          </w:p>
        </w:tc>
        <w:tc>
          <w:tcPr>
            <w:tcW w:w="917" w:type="dxa"/>
            <w:noWrap w:val="0"/>
            <w:vAlign w:val="center"/>
          </w:tcPr>
          <w:p>
            <w:pPr>
              <w:pStyle w:val="16"/>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3.00</w:t>
            </w:r>
          </w:p>
        </w:tc>
        <w:tc>
          <w:tcPr>
            <w:tcW w:w="6451" w:type="dxa"/>
            <w:noWrap w:val="0"/>
            <w:vAlign w:val="center"/>
          </w:tcPr>
          <w:p>
            <w:pPr>
              <w:pStyle w:val="16"/>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供应商在响应文件中书面承诺：严格执行并承担与项目有关的安全责任，施工过程中服务人员的工伤风险等，由供应商自行承担，因意外事故或安全问题引发的人身伤亡和财产损失，供应商应依法自行承担赔偿责任。提供书面承诺（承诺函格式自拟）得3分，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22" w:type="dxa"/>
            <w:noWrap w:val="0"/>
            <w:vAlign w:val="center"/>
          </w:tcPr>
          <w:p>
            <w:pPr>
              <w:pStyle w:val="16"/>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2、拟派项目负责人</w:t>
            </w:r>
          </w:p>
        </w:tc>
        <w:tc>
          <w:tcPr>
            <w:tcW w:w="917" w:type="dxa"/>
            <w:noWrap w:val="0"/>
            <w:vAlign w:val="center"/>
          </w:tcPr>
          <w:p>
            <w:pPr>
              <w:pStyle w:val="16"/>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3.00</w:t>
            </w:r>
          </w:p>
        </w:tc>
        <w:tc>
          <w:tcPr>
            <w:tcW w:w="6451" w:type="dxa"/>
            <w:noWrap w:val="0"/>
            <w:vAlign w:val="top"/>
          </w:tcPr>
          <w:p>
            <w:pPr>
              <w:pStyle w:val="16"/>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供应商针对本项目拟派的项目负责人同时具有大专及以上学历、中级及以上职称证书的得3分。（须提供项目负责人的毕业证书、有效身份证、职称证书及投标截止时间前六个月内任意一个月的社保缴纳证明，未提供的或提供不全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822" w:type="dxa"/>
            <w:noWrap w:val="0"/>
            <w:vAlign w:val="center"/>
          </w:tcPr>
          <w:p>
            <w:pPr>
              <w:pStyle w:val="16"/>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3、售后服务方案</w:t>
            </w:r>
          </w:p>
        </w:tc>
        <w:tc>
          <w:tcPr>
            <w:tcW w:w="917" w:type="dxa"/>
            <w:noWrap w:val="0"/>
            <w:vAlign w:val="center"/>
          </w:tcPr>
          <w:p>
            <w:pPr>
              <w:pStyle w:val="16"/>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3.00</w:t>
            </w:r>
          </w:p>
        </w:tc>
        <w:tc>
          <w:tcPr>
            <w:tcW w:w="6451" w:type="dxa"/>
            <w:noWrap w:val="0"/>
            <w:vAlign w:val="top"/>
          </w:tcPr>
          <w:p>
            <w:pPr>
              <w:pStyle w:val="16"/>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根据供应商提供的售后服务方案情况，由磋商小组进行评价：售后服务方案包含保修细节、售后服务人员名单罗列且有对应的应急措施的得3分；方案只能粗略提供服务事项、简单的名单的得2</w:t>
            </w:r>
            <w:r>
              <w:rPr>
                <w:rFonts w:hint="eastAsia" w:ascii="宋体" w:hAnsi="宋体" w:cs="宋体"/>
                <w:kern w:val="0"/>
                <w:sz w:val="24"/>
                <w:szCs w:val="24"/>
                <w:lang w:val="en-US" w:eastAsia="zh-CN" w:bidi="ar"/>
              </w:rPr>
              <w:t>.9</w:t>
            </w:r>
            <w:r>
              <w:rPr>
                <w:rFonts w:hint="eastAsia" w:ascii="宋体" w:hAnsi="宋体" w:eastAsia="宋体" w:cs="宋体"/>
                <w:kern w:val="0"/>
                <w:sz w:val="24"/>
                <w:szCs w:val="24"/>
                <w:lang w:val="en-US" w:eastAsia="zh-CN" w:bidi="ar"/>
              </w:rPr>
              <w:t>分；其他的得</w:t>
            </w:r>
            <w:r>
              <w:rPr>
                <w:rFonts w:hint="eastAsia" w:ascii="宋体" w:hAnsi="宋体" w:cs="宋体"/>
                <w:kern w:val="0"/>
                <w:sz w:val="24"/>
                <w:szCs w:val="24"/>
                <w:lang w:val="en-US" w:eastAsia="zh-CN" w:bidi="ar"/>
              </w:rPr>
              <w:t>2.8</w:t>
            </w:r>
            <w:r>
              <w:rPr>
                <w:rFonts w:hint="eastAsia" w:ascii="宋体" w:hAnsi="宋体" w:eastAsia="宋体" w:cs="宋体"/>
                <w:kern w:val="0"/>
                <w:sz w:val="24"/>
                <w:szCs w:val="24"/>
                <w:lang w:val="en-US" w:eastAsia="zh-CN" w:bidi="ar"/>
              </w:rPr>
              <w:t>分；未提供的不得分。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822" w:type="dxa"/>
            <w:noWrap w:val="0"/>
            <w:vAlign w:val="center"/>
          </w:tcPr>
          <w:p>
            <w:pPr>
              <w:pStyle w:val="16"/>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w:t>
            </w:r>
            <w:r>
              <w:rPr>
                <w:rFonts w:hint="eastAsia" w:ascii="宋体" w:hAnsi="宋体" w:cs="宋体"/>
                <w:kern w:val="0"/>
                <w:sz w:val="24"/>
                <w:szCs w:val="24"/>
                <w:lang w:val="en-US" w:eastAsia="zh-CN" w:bidi="ar"/>
              </w:rPr>
              <w:t>现场勘察</w:t>
            </w:r>
          </w:p>
        </w:tc>
        <w:tc>
          <w:tcPr>
            <w:tcW w:w="917" w:type="dxa"/>
            <w:noWrap w:val="0"/>
            <w:vAlign w:val="center"/>
          </w:tcPr>
          <w:p>
            <w:pPr>
              <w:pStyle w:val="16"/>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3.00</w:t>
            </w:r>
          </w:p>
        </w:tc>
        <w:tc>
          <w:tcPr>
            <w:tcW w:w="6451" w:type="dxa"/>
            <w:noWrap w:val="0"/>
            <w:vAlign w:val="top"/>
          </w:tcPr>
          <w:p>
            <w:pPr>
              <w:pStyle w:val="16"/>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根据供应商现场踏勘情况进行评分：需提供完整的经招标人签字盖章确认的现场踏勘确认书，并提供符合社区文化的深化设计效果图（不少于3张）及文字说明的得3分。未提供完整材料的或者未进行现场踏勘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22" w:type="dxa"/>
            <w:noWrap w:val="0"/>
            <w:vAlign w:val="center"/>
          </w:tcPr>
          <w:p>
            <w:pPr>
              <w:pStyle w:val="16"/>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5、廉政承诺措施</w:t>
            </w:r>
          </w:p>
        </w:tc>
        <w:tc>
          <w:tcPr>
            <w:tcW w:w="917" w:type="dxa"/>
            <w:noWrap w:val="0"/>
            <w:vAlign w:val="center"/>
          </w:tcPr>
          <w:p>
            <w:pPr>
              <w:pStyle w:val="16"/>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3 .00</w:t>
            </w:r>
          </w:p>
        </w:tc>
        <w:tc>
          <w:tcPr>
            <w:tcW w:w="6451" w:type="dxa"/>
            <w:noWrap w:val="0"/>
            <w:vAlign w:val="center"/>
          </w:tcPr>
          <w:p>
            <w:pPr>
              <w:pStyle w:val="16"/>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根据供应商提供的廉政承诺情况，由磋商小组进行评分：提供承诺函的得3分，未提供的不得分。须提供承诺函，否则不得分。</w:t>
            </w:r>
          </w:p>
        </w:tc>
      </w:tr>
    </w:tbl>
    <w:p>
      <w:pPr>
        <w:pStyle w:val="16"/>
        <w:spacing w:before="75" w:after="76" w:line="420" w:lineRule="exact"/>
        <w:rPr>
          <w:rFonts w:ascii="宋体" w:hAnsi="宋体" w:cs="宋体"/>
          <w:color w:val="auto"/>
          <w:sz w:val="24"/>
          <w:szCs w:val="24"/>
          <w:highlight w:val="none"/>
          <w:lang w:eastAsia="zh-CN" w:bidi="ar"/>
        </w:rPr>
      </w:pPr>
    </w:p>
    <w:p>
      <w:pPr>
        <w:pStyle w:val="16"/>
        <w:spacing w:before="75" w:after="76" w:line="420" w:lineRule="exact"/>
        <w:ind w:firstLine="480" w:firstLineChars="200"/>
        <w:rPr>
          <w:rFonts w:ascii="宋体" w:hAnsi="宋体" w:cs="宋体"/>
          <w:color w:val="auto"/>
          <w:sz w:val="24"/>
          <w:szCs w:val="24"/>
          <w:highlight w:val="none"/>
          <w:lang w:eastAsia="zh-CN" w:bidi="ar"/>
        </w:rPr>
      </w:pPr>
      <w:r>
        <w:rPr>
          <w:rFonts w:ascii="宋体" w:hAnsi="宋体" w:cs="宋体"/>
          <w:color w:val="auto"/>
          <w:sz w:val="24"/>
          <w:szCs w:val="24"/>
          <w:highlight w:val="none"/>
          <w:lang w:eastAsia="zh-CN" w:bidi="ar"/>
        </w:rPr>
        <w:t>（4）成交候选供应商排列规则顺序和并列相同时的处理约定如下：</w:t>
      </w:r>
    </w:p>
    <w:p>
      <w:pPr>
        <w:pStyle w:val="16"/>
        <w:spacing w:before="75" w:after="76" w:line="420" w:lineRule="exact"/>
        <w:ind w:firstLine="480" w:firstLineChars="200"/>
        <w:rPr>
          <w:rFonts w:ascii="宋体" w:hAnsi="宋体" w:cs="宋体"/>
          <w:color w:val="auto"/>
          <w:sz w:val="24"/>
          <w:szCs w:val="24"/>
          <w:highlight w:val="none"/>
          <w:lang w:eastAsia="zh-CN" w:bidi="ar"/>
        </w:rPr>
      </w:pPr>
      <w:r>
        <w:rPr>
          <w:rFonts w:ascii="宋体" w:hAnsi="宋体" w:cs="宋体"/>
          <w:color w:val="auto"/>
          <w:sz w:val="24"/>
          <w:szCs w:val="24"/>
          <w:highlight w:val="none"/>
          <w:lang w:eastAsia="zh-CN" w:bidi="ar"/>
        </w:rPr>
        <w:t>a.成交候选供应商按照综合评审总得分（FA）由高到低顺序排列推荐。</w:t>
      </w:r>
    </w:p>
    <w:p>
      <w:pPr>
        <w:pStyle w:val="16"/>
        <w:spacing w:before="75" w:after="76" w:line="420" w:lineRule="exact"/>
        <w:ind w:firstLine="480" w:firstLineChars="200"/>
        <w:rPr>
          <w:rFonts w:ascii="宋体" w:hAnsi="宋体" w:cs="宋体"/>
          <w:color w:val="auto"/>
          <w:sz w:val="24"/>
          <w:szCs w:val="24"/>
          <w:highlight w:val="none"/>
          <w:lang w:eastAsia="zh-CN" w:bidi="ar"/>
        </w:rPr>
      </w:pPr>
      <w:r>
        <w:rPr>
          <w:rFonts w:ascii="宋体" w:hAnsi="宋体" w:cs="宋体"/>
          <w:color w:val="auto"/>
          <w:sz w:val="24"/>
          <w:szCs w:val="24"/>
          <w:highlight w:val="none"/>
          <w:lang w:eastAsia="zh-CN" w:bidi="ar"/>
        </w:rPr>
        <w:t>b.综合评审总得分（FA）相同的，按照经评审最后磋商报价由低到高顺序推荐。</w:t>
      </w:r>
    </w:p>
    <w:p>
      <w:pPr>
        <w:pStyle w:val="16"/>
        <w:spacing w:before="75" w:after="76" w:line="420" w:lineRule="exact"/>
        <w:ind w:firstLine="480" w:firstLineChars="200"/>
        <w:rPr>
          <w:rFonts w:ascii="宋体" w:hAnsi="宋体" w:cs="宋体"/>
          <w:color w:val="auto"/>
          <w:sz w:val="24"/>
          <w:szCs w:val="24"/>
          <w:highlight w:val="none"/>
          <w:lang w:eastAsia="zh-CN" w:bidi="ar"/>
        </w:rPr>
      </w:pPr>
      <w:r>
        <w:rPr>
          <w:rFonts w:ascii="宋体" w:hAnsi="宋体" w:cs="宋体"/>
          <w:color w:val="auto"/>
          <w:sz w:val="24"/>
          <w:szCs w:val="24"/>
          <w:highlight w:val="none"/>
          <w:lang w:eastAsia="zh-CN" w:bidi="ar"/>
        </w:rPr>
        <w:t>c.综合评审总得分（FA）且经评审最后磋商报价仍然相同的，按照技术指标优劣顺序推荐。</w:t>
      </w:r>
    </w:p>
    <w:p>
      <w:pPr>
        <w:pStyle w:val="16"/>
        <w:spacing w:before="75" w:after="76" w:line="420" w:lineRule="exact"/>
        <w:ind w:firstLine="480" w:firstLineChars="200"/>
        <w:rPr>
          <w:rFonts w:ascii="宋体" w:hAnsi="宋体" w:cs="宋体"/>
          <w:color w:val="auto"/>
          <w:sz w:val="24"/>
          <w:szCs w:val="24"/>
          <w:highlight w:val="none"/>
          <w:lang w:eastAsia="zh-CN" w:bidi="ar"/>
        </w:rPr>
      </w:pPr>
      <w:r>
        <w:rPr>
          <w:rFonts w:ascii="宋体" w:hAnsi="宋体" w:cs="宋体"/>
          <w:color w:val="auto"/>
          <w:sz w:val="24"/>
          <w:szCs w:val="24"/>
          <w:highlight w:val="none"/>
          <w:lang w:eastAsia="zh-CN" w:bidi="ar"/>
        </w:rPr>
        <w:t>d.经前述顺序处理仍然并列相同的，则通过随机抽取方式确定优先顺序推荐。</w:t>
      </w:r>
    </w:p>
    <w:p>
      <w:pPr>
        <w:pStyle w:val="11"/>
        <w:widowControl/>
        <w:spacing w:before="0" w:beforeAutospacing="0" w:after="0" w:afterAutospacing="0" w:line="405" w:lineRule="atLeast"/>
        <w:ind w:firstLine="465"/>
        <w:rPr>
          <w:color w:val="auto"/>
          <w:highlight w:val="none"/>
        </w:rPr>
      </w:pPr>
    </w:p>
    <w:p>
      <w:pPr>
        <w:pStyle w:val="11"/>
        <w:widowControl/>
        <w:spacing w:before="75" w:beforeAutospacing="0" w:after="75" w:afterAutospacing="0" w:line="420" w:lineRule="atLeast"/>
        <w:jc w:val="center"/>
        <w:rPr>
          <w:color w:val="auto"/>
          <w:highlight w:val="none"/>
        </w:rPr>
      </w:pPr>
      <w:r>
        <w:rPr>
          <w:rStyle w:val="15"/>
          <w:rFonts w:hint="eastAsia" w:ascii="宋体" w:hAnsi="宋体" w:cs="宋体"/>
          <w:color w:val="auto"/>
          <w:highlight w:val="none"/>
        </w:rPr>
        <w:t>四、评审报告</w:t>
      </w:r>
    </w:p>
    <w:p>
      <w:pPr>
        <w:pStyle w:val="11"/>
        <w:widowControl/>
        <w:spacing w:before="75" w:beforeAutospacing="0" w:after="75" w:afterAutospacing="0" w:line="420" w:lineRule="atLeast"/>
        <w:rPr>
          <w:color w:val="auto"/>
          <w:highlight w:val="none"/>
        </w:rPr>
      </w:pPr>
      <w:r>
        <w:rPr>
          <w:rFonts w:hint="eastAsia" w:ascii="宋体" w:hAnsi="宋体" w:cs="宋体"/>
          <w:color w:val="auto"/>
          <w:highlight w:val="none"/>
        </w:rPr>
        <w:t> 4.1磋商小组完成评审后，应当编写评审报告并提交给采购人。</w:t>
      </w:r>
    </w:p>
    <w:p>
      <w:pPr>
        <w:pStyle w:val="11"/>
        <w:widowControl/>
        <w:spacing w:before="75" w:beforeAutospacing="0" w:after="75" w:afterAutospacing="0" w:line="420" w:lineRule="atLeast"/>
        <w:rPr>
          <w:color w:val="auto"/>
          <w:highlight w:val="none"/>
        </w:rPr>
      </w:pPr>
      <w:r>
        <w:rPr>
          <w:rFonts w:hint="eastAsia" w:ascii="宋体" w:hAnsi="宋体" w:cs="宋体"/>
          <w:color w:val="auto"/>
          <w:highlight w:val="none"/>
        </w:rPr>
        <w:t> 4.2评审报告应当包括以下主要内容：</w:t>
      </w:r>
    </w:p>
    <w:p>
      <w:pPr>
        <w:pStyle w:val="11"/>
        <w:widowControl/>
        <w:spacing w:before="75" w:beforeAutospacing="0" w:after="75" w:afterAutospacing="0" w:line="420" w:lineRule="atLeast"/>
        <w:ind w:firstLine="480"/>
        <w:rPr>
          <w:color w:val="auto"/>
          <w:highlight w:val="none"/>
        </w:rPr>
      </w:pPr>
      <w:r>
        <w:rPr>
          <w:rFonts w:hint="eastAsia" w:ascii="宋体" w:hAnsi="宋体" w:cs="宋体"/>
          <w:color w:val="auto"/>
          <w:highlight w:val="none"/>
        </w:rPr>
        <w:t>（一）邀请供应商参加采购活动的具体方式和相关情况；</w:t>
      </w:r>
    </w:p>
    <w:p>
      <w:pPr>
        <w:pStyle w:val="11"/>
        <w:widowControl/>
        <w:spacing w:before="75" w:beforeAutospacing="0" w:after="75" w:afterAutospacing="0" w:line="420" w:lineRule="atLeast"/>
        <w:ind w:firstLine="480"/>
        <w:rPr>
          <w:color w:val="auto"/>
          <w:highlight w:val="none"/>
        </w:rPr>
      </w:pPr>
      <w:r>
        <w:rPr>
          <w:rFonts w:hint="eastAsia" w:ascii="宋体" w:hAnsi="宋体" w:cs="宋体"/>
          <w:color w:val="auto"/>
          <w:highlight w:val="none"/>
        </w:rPr>
        <w:t>（二）响应文件开启日期和地点；</w:t>
      </w:r>
    </w:p>
    <w:p>
      <w:pPr>
        <w:pStyle w:val="11"/>
        <w:widowControl/>
        <w:spacing w:before="75" w:beforeAutospacing="0" w:after="75" w:afterAutospacing="0" w:line="420" w:lineRule="atLeast"/>
        <w:ind w:firstLine="480"/>
        <w:rPr>
          <w:color w:val="auto"/>
          <w:highlight w:val="none"/>
        </w:rPr>
      </w:pPr>
      <w:r>
        <w:rPr>
          <w:rFonts w:hint="eastAsia" w:ascii="宋体" w:hAnsi="宋体" w:cs="宋体"/>
          <w:color w:val="auto"/>
          <w:highlight w:val="none"/>
        </w:rPr>
        <w:t>（三）获取磋商文件的供应商名单和磋商小组成员名单；</w:t>
      </w:r>
    </w:p>
    <w:p>
      <w:pPr>
        <w:pStyle w:val="11"/>
        <w:widowControl/>
        <w:spacing w:before="75" w:beforeAutospacing="0" w:after="75" w:afterAutospacing="0" w:line="420" w:lineRule="atLeast"/>
        <w:ind w:firstLine="480"/>
        <w:rPr>
          <w:color w:val="auto"/>
          <w:highlight w:val="none"/>
        </w:rPr>
      </w:pPr>
      <w:r>
        <w:rPr>
          <w:rFonts w:hint="eastAsia" w:ascii="宋体" w:hAnsi="宋体" w:cs="宋体"/>
          <w:color w:val="auto"/>
          <w:highlight w:val="none"/>
        </w:rPr>
        <w:t>（四）评审情况记录和说明，包括对供应商的资格审查情况、供应商响应文件评审情况、磋商情况、报价情况等；</w:t>
      </w:r>
    </w:p>
    <w:p>
      <w:pPr>
        <w:pStyle w:val="11"/>
        <w:widowControl/>
        <w:spacing w:before="75" w:beforeAutospacing="0" w:after="75" w:afterAutospacing="0" w:line="420" w:lineRule="atLeast"/>
        <w:ind w:firstLine="480"/>
        <w:rPr>
          <w:color w:val="auto"/>
          <w:highlight w:val="none"/>
        </w:rPr>
      </w:pPr>
      <w:r>
        <w:rPr>
          <w:rFonts w:hint="eastAsia" w:ascii="宋体" w:hAnsi="宋体" w:cs="宋体"/>
          <w:color w:val="auto"/>
          <w:highlight w:val="none"/>
        </w:rPr>
        <w:t>（五）提出的成交候选供应商的排序名单及理由。</w:t>
      </w:r>
    </w:p>
    <w:p>
      <w:pPr>
        <w:pStyle w:val="11"/>
        <w:widowControl/>
        <w:spacing w:before="75" w:beforeAutospacing="0" w:after="75" w:afterAutospacing="0" w:line="420" w:lineRule="atLeast"/>
        <w:rPr>
          <w:color w:val="auto"/>
          <w:highlight w:val="none"/>
        </w:rPr>
      </w:pPr>
      <w:r>
        <w:rPr>
          <w:rFonts w:hint="eastAsia" w:ascii="宋体" w:hAnsi="宋体" w:cs="宋体"/>
          <w:color w:val="auto"/>
          <w:highlight w:val="none"/>
        </w:rPr>
        <w:t> 4.3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11"/>
        <w:widowControl/>
        <w:spacing w:before="75" w:beforeAutospacing="0" w:after="75" w:afterAutospacing="0" w:line="420" w:lineRule="atLeast"/>
        <w:jc w:val="center"/>
        <w:rPr>
          <w:color w:val="auto"/>
          <w:highlight w:val="none"/>
        </w:rPr>
      </w:pPr>
      <w:r>
        <w:rPr>
          <w:rStyle w:val="15"/>
          <w:rFonts w:hint="eastAsia" w:ascii="宋体" w:hAnsi="宋体" w:cs="宋体"/>
          <w:color w:val="auto"/>
          <w:highlight w:val="none"/>
        </w:rPr>
        <w:t>五、其他规定</w:t>
      </w:r>
    </w:p>
    <w:p>
      <w:pPr>
        <w:pStyle w:val="11"/>
        <w:widowControl/>
        <w:spacing w:before="75" w:beforeAutospacing="0" w:after="75" w:afterAutospacing="0" w:line="420" w:lineRule="atLeast"/>
        <w:rPr>
          <w:color w:val="auto"/>
          <w:highlight w:val="none"/>
        </w:rPr>
      </w:pPr>
      <w:r>
        <w:rPr>
          <w:rFonts w:hint="eastAsia" w:ascii="宋体" w:hAnsi="宋体" w:cs="宋体"/>
          <w:color w:val="auto"/>
          <w:highlight w:val="none"/>
        </w:rPr>
        <w:t>  5.1其他规定</w:t>
      </w:r>
    </w:p>
    <w:p>
      <w:pPr>
        <w:pStyle w:val="11"/>
        <w:widowControl/>
        <w:spacing w:before="75" w:beforeAutospacing="0" w:after="75" w:afterAutospacing="0" w:line="420" w:lineRule="atLeast"/>
        <w:ind w:firstLine="480"/>
        <w:rPr>
          <w:color w:val="auto"/>
          <w:highlight w:val="none"/>
        </w:rPr>
      </w:pPr>
      <w:r>
        <w:rPr>
          <w:rFonts w:hint="eastAsia" w:ascii="宋体" w:hAnsi="宋体" w:cs="宋体"/>
          <w:color w:val="auto"/>
          <w:highlight w:val="none"/>
        </w:rPr>
        <w:t>5.1.1评审应全程保密且不得透露给任一供应商或与评审工作无关的人员。</w:t>
      </w:r>
    </w:p>
    <w:p>
      <w:pPr>
        <w:pStyle w:val="11"/>
        <w:widowControl/>
        <w:spacing w:before="75" w:beforeAutospacing="0" w:after="75" w:afterAutospacing="0" w:line="420" w:lineRule="atLeast"/>
        <w:ind w:firstLine="480"/>
        <w:rPr>
          <w:color w:val="auto"/>
          <w:highlight w:val="none"/>
        </w:rPr>
      </w:pPr>
      <w:r>
        <w:rPr>
          <w:rFonts w:hint="eastAsia" w:ascii="宋体" w:hAnsi="宋体" w:cs="宋体"/>
          <w:color w:val="auto"/>
          <w:highlight w:val="none"/>
        </w:rPr>
        <w:t>5.1.2评审将进行全程实时录音录像，录音录像资料随采购文件一并存档。</w:t>
      </w:r>
    </w:p>
    <w:p>
      <w:pPr>
        <w:pStyle w:val="11"/>
        <w:widowControl/>
        <w:spacing w:before="75" w:beforeAutospacing="0" w:after="75" w:afterAutospacing="0" w:line="420" w:lineRule="atLeast"/>
        <w:ind w:firstLine="480"/>
        <w:rPr>
          <w:color w:val="auto"/>
          <w:highlight w:val="none"/>
        </w:rPr>
      </w:pPr>
      <w:r>
        <w:rPr>
          <w:rFonts w:hint="eastAsia" w:ascii="宋体" w:hAnsi="宋体" w:cs="宋体"/>
          <w:color w:val="auto"/>
          <w:highlight w:val="none"/>
        </w:rPr>
        <w:t>5.1.3若供应商有任何试图干扰具体评审事务，影响磋商小组独立履行职责的行为，其响应无效且不予退还磋商保证金。情节严重的，由财政部门列入不良行为记录。</w:t>
      </w:r>
    </w:p>
    <w:p>
      <w:pPr>
        <w:pStyle w:val="11"/>
        <w:widowControl/>
        <w:spacing w:before="75" w:beforeAutospacing="0" w:after="75" w:afterAutospacing="0" w:line="420" w:lineRule="atLeast"/>
        <w:ind w:firstLine="480"/>
        <w:rPr>
          <w:color w:val="auto"/>
          <w:highlight w:val="none"/>
        </w:rPr>
      </w:pPr>
      <w:r>
        <w:rPr>
          <w:rFonts w:hint="eastAsia" w:ascii="宋体" w:hAnsi="宋体" w:cs="宋体"/>
          <w:color w:val="auto"/>
          <w:highlight w:val="none"/>
        </w:rPr>
        <w:t>5.1.4根据采购项目的特点和需要，需要加以详细说明的其他磋商程序规定、要求等内容：</w:t>
      </w:r>
    </w:p>
    <w:p>
      <w:pPr>
        <w:pStyle w:val="11"/>
        <w:widowControl/>
        <w:spacing w:before="75" w:beforeAutospacing="0" w:after="75" w:afterAutospacing="0" w:line="420" w:lineRule="atLeast"/>
        <w:ind w:firstLine="480"/>
        <w:rPr>
          <w:color w:val="auto"/>
          <w:highlight w:val="none"/>
        </w:rPr>
      </w:pPr>
      <w:r>
        <w:rPr>
          <w:rFonts w:hint="eastAsia" w:ascii="宋体" w:hAnsi="宋体" w:cs="宋体"/>
          <w:color w:val="auto"/>
          <w:highlight w:val="none"/>
        </w:rPr>
        <w:t>无。</w:t>
      </w:r>
    </w:p>
    <w:p>
      <w:pPr>
        <w:widowControl/>
        <w:jc w:val="center"/>
        <w:rPr>
          <w:color w:val="auto"/>
          <w:highlight w:val="none"/>
        </w:rPr>
      </w:pPr>
      <w:r>
        <w:rPr>
          <w:rStyle w:val="15"/>
          <w:rFonts w:hint="eastAsia" w:ascii="宋体" w:hAnsi="宋体" w:cs="宋体"/>
          <w:color w:val="auto"/>
          <w:sz w:val="31"/>
          <w:szCs w:val="31"/>
          <w:highlight w:val="none"/>
        </w:rPr>
        <w:t>第2节 竞争性磋商须知</w:t>
      </w:r>
    </w:p>
    <w:p>
      <w:pPr>
        <w:pStyle w:val="11"/>
        <w:widowControl/>
        <w:spacing w:before="75" w:beforeAutospacing="0" w:after="75" w:afterAutospacing="0" w:line="435" w:lineRule="atLeast"/>
        <w:jc w:val="center"/>
        <w:rPr>
          <w:color w:val="auto"/>
          <w:highlight w:val="none"/>
        </w:rPr>
      </w:pPr>
      <w:r>
        <w:rPr>
          <w:rStyle w:val="15"/>
          <w:rFonts w:hint="eastAsia" w:ascii="宋体" w:hAnsi="宋体" w:cs="宋体"/>
          <w:color w:val="auto"/>
          <w:highlight w:val="none"/>
        </w:rPr>
        <w:t>一、总则</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w:t>
      </w:r>
      <w:r>
        <w:rPr>
          <w:rStyle w:val="15"/>
          <w:rFonts w:hint="eastAsia" w:ascii="宋体" w:hAnsi="宋体" w:cs="宋体"/>
          <w:color w:val="auto"/>
          <w:highlight w:val="none"/>
        </w:rPr>
        <w:t>1.适用范围：</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1.1适用于磋商文件载明项目的采购活动（以下简称：“本次采购活动”）。</w:t>
      </w:r>
    </w:p>
    <w:p>
      <w:pPr>
        <w:pStyle w:val="11"/>
        <w:widowControl/>
        <w:spacing w:before="75" w:beforeAutospacing="0" w:after="75" w:afterAutospacing="0" w:line="435" w:lineRule="atLeast"/>
        <w:rPr>
          <w:color w:val="auto"/>
          <w:highlight w:val="none"/>
        </w:rPr>
      </w:pPr>
      <w:r>
        <w:rPr>
          <w:rStyle w:val="15"/>
          <w:rFonts w:hint="eastAsia" w:ascii="宋体" w:hAnsi="宋体" w:cs="宋体"/>
          <w:color w:val="auto"/>
          <w:highlight w:val="none"/>
        </w:rPr>
        <w:t>2.定义及要求：</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2.1“采购标的”指磋商文件载明的需要采购的货物、服务、工程。</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2.2“采购人”指本次采购项目的买方、或业主方、或甲方，具体见磋商文件第一章；“采购代理机构”系指接受采购人委托，组织开展竞争性磋商采购活动的代理机构，具体见磋商文件第一章。</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2.3“潜在供应商”按照磋商文件第一章规定进行报名，且有意向参加本项目响应磋商的供应商。</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2.4“供应商”指按照磋商文件第一章规定进行报名，且已经提交响应文件的法人或其他组织或自然人。只有适合自然人参与和承接的政府采购项目，供应商才可以是自然人。</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2.5“单位负责人”指单位法定代表人（供应商为法人的）或法律、法规规定代表单位行使职权的主要负责人（供应商为其他组织的）。</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2.6“供应商代表”指供应商（为法人或其他组织的）的单位负责人或由其授权的委托代理人，即单位负责人授权书中载明的接受授权方。供应商为自然人的，由本人签字并附身份证明。</w:t>
      </w:r>
    </w:p>
    <w:p>
      <w:pPr>
        <w:pStyle w:val="11"/>
        <w:widowControl/>
        <w:spacing w:before="75" w:beforeAutospacing="0" w:after="75" w:afterAutospacing="0" w:line="435" w:lineRule="atLeast"/>
        <w:rPr>
          <w:color w:val="auto"/>
          <w:highlight w:val="none"/>
        </w:rPr>
      </w:pPr>
      <w:r>
        <w:rPr>
          <w:rStyle w:val="15"/>
          <w:rFonts w:hint="eastAsia" w:ascii="宋体" w:hAnsi="宋体" w:cs="宋体"/>
          <w:color w:val="auto"/>
          <w:highlight w:val="none"/>
        </w:rPr>
        <w:t>3.合格的</w:t>
      </w:r>
      <w:r>
        <w:rPr>
          <w:b/>
          <w:color w:val="auto"/>
          <w:highlight w:val="none"/>
        </w:rPr>
        <w:t>供应商</w:t>
      </w:r>
      <w:r>
        <w:rPr>
          <w:rStyle w:val="15"/>
          <w:rFonts w:hint="eastAsia" w:ascii="宋体" w:hAnsi="宋体" w:cs="宋体"/>
          <w:color w:val="auto"/>
          <w:highlight w:val="none"/>
        </w:rPr>
        <w:t>：</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3.1一般规定</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3.1.1供应商应当遵守中国的有关法律、法规和规章的规定，参加政府采购活动时已经自觉检查并按照政府采购相关法律规定，主动回避相应利害关系。</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3.1.2为采购项目提供整体设计、规范编制或项目管理、监理、检测等服务的供应商，不得再参加该采购项目除整体设计、规范编制和项目管理、监理、检测等服务之外的其他采购活动</w:t>
      </w:r>
      <w:r>
        <w:rPr>
          <w:rStyle w:val="15"/>
          <w:rFonts w:hint="eastAsia" w:ascii="宋体" w:hAnsi="宋体" w:cs="宋体"/>
          <w:color w:val="auto"/>
          <w:highlight w:val="none"/>
        </w:rPr>
        <w:t>。</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3.1.3列入失信被执行人、重大税收违法案件当事人名单、政府采购严重违法失信行为记录名单及其他不符合《中华人民共和国政府采购法》第二十二条规定条件的供应商，不得参加政府采购活动</w:t>
      </w:r>
      <w:r>
        <w:rPr>
          <w:rStyle w:val="15"/>
          <w:rFonts w:hint="eastAsia" w:ascii="宋体" w:hAnsi="宋体" w:cs="宋体"/>
          <w:color w:val="auto"/>
          <w:highlight w:val="none"/>
        </w:rPr>
        <w:t>。</w:t>
      </w:r>
    </w:p>
    <w:p>
      <w:pPr>
        <w:pStyle w:val="11"/>
        <w:widowControl/>
        <w:spacing w:before="75" w:beforeAutospacing="0" w:after="75" w:afterAutospacing="0" w:line="435" w:lineRule="atLeast"/>
        <w:ind w:firstLine="480"/>
        <w:rPr>
          <w:color w:val="auto"/>
          <w:highlight w:val="none"/>
        </w:rPr>
      </w:pPr>
      <w:r>
        <w:rPr>
          <w:rStyle w:val="15"/>
          <w:rFonts w:hint="eastAsia" w:ascii="宋体" w:hAnsi="宋体" w:cs="宋体"/>
          <w:color w:val="auto"/>
          <w:highlight w:val="none"/>
        </w:rPr>
        <w:t>供应商有责任检查自身情况，在响应文件中对是否违反以上一般规定做出如实声明，否则其响应文件将被否决。</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3.2特别规定</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3.2.1供应商的资格要求：详见竞争性磋商须知前附表第</w:t>
      </w:r>
      <w:r>
        <w:rPr>
          <w:rFonts w:hint="eastAsia" w:ascii="宋体" w:hAnsi="宋体" w:cs="宋体"/>
          <w:color w:val="auto"/>
          <w:highlight w:val="none"/>
          <w:u w:val="single"/>
        </w:rPr>
        <w:t>1</w:t>
      </w:r>
      <w:r>
        <w:rPr>
          <w:rFonts w:hint="eastAsia" w:ascii="宋体" w:hAnsi="宋体" w:cs="宋体"/>
          <w:color w:val="auto"/>
          <w:highlight w:val="none"/>
        </w:rPr>
        <w:t>项。</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3.2.2是否接受联合体形式的响应磋商：详见竞争性磋商须知前附表第</w:t>
      </w:r>
      <w:r>
        <w:rPr>
          <w:rFonts w:hint="eastAsia" w:ascii="宋体" w:hAnsi="宋体" w:cs="宋体"/>
          <w:color w:val="auto"/>
          <w:highlight w:val="none"/>
          <w:u w:val="single"/>
        </w:rPr>
        <w:t>2</w:t>
      </w:r>
      <w:r>
        <w:rPr>
          <w:rFonts w:hint="eastAsia" w:ascii="宋体" w:hAnsi="宋体" w:cs="宋体"/>
          <w:color w:val="auto"/>
          <w:highlight w:val="none"/>
        </w:rPr>
        <w:t>项。若接受联合体形式且供应商为联合体，则联合体各方除了应遵守本章第3.1条规定外，还应遵守下列规定：</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（1）联合体各方应提交联合体协议，联合体协议应符合磋商文件规定。</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（2）联合体各方不得再单独参加或与其他供应商另外组成联合体参加同一合同项下的响应磋商。</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（3）联合体各方应共同与采购人签订政府采购合同，就政府采购合同约定的事项对采购人承担连带责任。</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3.2.3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pPr>
        <w:pStyle w:val="11"/>
        <w:widowControl/>
        <w:spacing w:before="75" w:beforeAutospacing="0" w:after="75" w:afterAutospacing="0" w:line="435" w:lineRule="atLeast"/>
        <w:rPr>
          <w:color w:val="auto"/>
          <w:highlight w:val="none"/>
        </w:rPr>
      </w:pPr>
      <w:r>
        <w:rPr>
          <w:rStyle w:val="15"/>
          <w:rFonts w:hint="eastAsia" w:ascii="宋体" w:hAnsi="宋体" w:cs="宋体"/>
          <w:color w:val="auto"/>
          <w:highlight w:val="none"/>
        </w:rPr>
        <w:t>4.参与竞争性磋商费用：</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4.1除法律法规或采购文件另有规定之外，供应商应自行承担其准备与参加竞争性磋商所涉及的一切费用。</w:t>
      </w:r>
    </w:p>
    <w:p>
      <w:pPr>
        <w:pStyle w:val="11"/>
        <w:widowControl/>
        <w:spacing w:before="75" w:beforeAutospacing="0" w:after="75" w:afterAutospacing="0" w:line="435" w:lineRule="atLeast"/>
        <w:jc w:val="center"/>
        <w:rPr>
          <w:color w:val="auto"/>
          <w:highlight w:val="none"/>
        </w:rPr>
      </w:pPr>
      <w:r>
        <w:rPr>
          <w:rStyle w:val="15"/>
          <w:rFonts w:hint="eastAsia" w:ascii="宋体" w:hAnsi="宋体" w:cs="宋体"/>
          <w:color w:val="auto"/>
          <w:highlight w:val="none"/>
        </w:rPr>
        <w:t>二、竞争性磋商文件</w:t>
      </w:r>
    </w:p>
    <w:p>
      <w:pPr>
        <w:pStyle w:val="11"/>
        <w:widowControl/>
        <w:spacing w:before="75" w:beforeAutospacing="0" w:after="75" w:afterAutospacing="0" w:line="435" w:lineRule="atLeast"/>
        <w:rPr>
          <w:color w:val="auto"/>
          <w:highlight w:val="none"/>
        </w:rPr>
      </w:pPr>
      <w:r>
        <w:rPr>
          <w:rStyle w:val="15"/>
          <w:rFonts w:hint="eastAsia" w:ascii="宋体" w:hAnsi="宋体" w:cs="宋体"/>
          <w:color w:val="auto"/>
          <w:highlight w:val="none"/>
        </w:rPr>
        <w:t>5.竞争性磋商文件的组成：</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5.1竞争性磋商文件由下述部分组成：</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第一章 采购公告（或采购邀请书）</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第二章 竞争性磋商须知</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第三章 采购内容及要求</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第四章 合同主要条款及格式</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第五章 首次响应文件格式</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5.2除上述内容以外，采购人、采购代理机构或者磋商小组在采购过程期间对磋商文件所作的澄清、修改或补充，均构成磋商文件的组成部分，对采购人和供应商具有约束力。</w:t>
      </w:r>
    </w:p>
    <w:p>
      <w:pPr>
        <w:pStyle w:val="11"/>
        <w:widowControl/>
        <w:spacing w:before="75" w:beforeAutospacing="0" w:after="75" w:afterAutospacing="0" w:line="435" w:lineRule="atLeast"/>
        <w:rPr>
          <w:color w:val="auto"/>
          <w:highlight w:val="none"/>
        </w:rPr>
      </w:pPr>
      <w:r>
        <w:rPr>
          <w:rStyle w:val="15"/>
          <w:rFonts w:hint="eastAsia" w:ascii="宋体" w:hAnsi="宋体" w:cs="宋体"/>
          <w:color w:val="auto"/>
          <w:highlight w:val="none"/>
        </w:rPr>
        <w:t>6.竞争性磋商文件的澄清、补充、修改及现场考察等：</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6.1提交首次响应文件截止之日前，采购人、采购代理机构或者磋商小组可以对已发出的磋商文件进行必要的澄清、补充或者修改，澄清、补充或者修改的内容作为磋商文件的组成部分。澄清、补充或者修改的内容可能影响响应文件编制的，采购人、采购代理机构或者磋商小组将在提交首次响应文件截止时间5个日历日前，以书面形式通知所有获取磋商文件的潜在供应商，不足5个日历日的，采购人、采购代理机构或磋商小组将顺延提交首次响应文件的截止时间。</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6.2提交首次响应文件截止时间前，若采购人发布更正公告，则更正公告及其所发布的内容或信息（包括但不限于竞争性磋商文件的澄清、补充或修改等）作为磋商文件组成部分，对采购人和供应商具有约束力。更正公告作为采购人、采购代理机构或磋商小组通知所有潜在供应商的书面形式，潜在供应商务必随时关注磋商文件中载明的指定媒体，以免遗漏。</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6.3采购人、采购代理机构可以视采购项目的具体情况，组织供应商进行现场考察或召开磋商前答疑会，是否组织现场考察或召开磋商前答疑会详见竞争性磋商须知前附表第</w:t>
      </w:r>
      <w:r>
        <w:rPr>
          <w:rFonts w:hint="eastAsia" w:ascii="宋体" w:hAnsi="宋体" w:cs="宋体"/>
          <w:color w:val="auto"/>
          <w:highlight w:val="none"/>
          <w:u w:val="single"/>
        </w:rPr>
        <w:t>3</w:t>
      </w:r>
      <w:r>
        <w:rPr>
          <w:rFonts w:hint="eastAsia" w:ascii="宋体" w:hAnsi="宋体" w:cs="宋体"/>
          <w:color w:val="auto"/>
          <w:highlight w:val="none"/>
        </w:rPr>
        <w:t>项。</w:t>
      </w:r>
    </w:p>
    <w:p>
      <w:pPr>
        <w:pStyle w:val="11"/>
        <w:widowControl/>
        <w:spacing w:before="75" w:beforeAutospacing="0" w:after="75" w:afterAutospacing="0" w:line="435" w:lineRule="atLeast"/>
        <w:jc w:val="center"/>
        <w:rPr>
          <w:color w:val="auto"/>
          <w:highlight w:val="none"/>
        </w:rPr>
      </w:pPr>
      <w:r>
        <w:rPr>
          <w:rStyle w:val="15"/>
          <w:rFonts w:hint="eastAsia" w:ascii="宋体" w:hAnsi="宋体" w:cs="宋体"/>
          <w:color w:val="auto"/>
          <w:highlight w:val="none"/>
        </w:rPr>
        <w:t>三、响应文件编制</w:t>
      </w:r>
    </w:p>
    <w:p>
      <w:pPr>
        <w:pStyle w:val="11"/>
        <w:widowControl/>
        <w:spacing w:before="75" w:beforeAutospacing="0" w:after="75" w:afterAutospacing="0" w:line="435" w:lineRule="atLeast"/>
        <w:rPr>
          <w:color w:val="auto"/>
          <w:highlight w:val="none"/>
        </w:rPr>
      </w:pPr>
      <w:r>
        <w:rPr>
          <w:rStyle w:val="15"/>
          <w:rFonts w:hint="eastAsia" w:ascii="宋体" w:hAnsi="宋体" w:cs="宋体"/>
          <w:color w:val="auto"/>
          <w:highlight w:val="none"/>
        </w:rPr>
        <w:t>7.应标要求</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7.1供应商可按照合同包号，对竞争性磋商文件中载明的全部或部分合同包进行响应。对于能够详细列明采购标的技术、服务要求的采购项目，供应商响应时，对同一个合同包内所有的采购内容和要求必须进行完整响应，否则其相应合同包的响应文件将被否决。</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7.2供应商代表在同一个合同项下只能接受一个供应商的委托参加响应磋商，否则其响应文件将被否决。</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7.3供应商应仔细阅读磋商文件的所有内容和要求，按磋商文件的规定提供响应文件，并对其所提供的全部资料、承诺和声明的真实性、合法性和准确性负责。</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7.4除非竞争性磋商须知前附表另有规定外，供应商提供的响应文件应使用中文文本，若有不同文字文本，以中文文本为准。</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7.6除非竞争性磋商须知前附表另有规定外，供应商承诺的报价应以人民币进行报价，合同实施结算时亦以人民币支付；所有计量均采用中华人民共和国法定计量单位。</w:t>
      </w:r>
    </w:p>
    <w:p>
      <w:pPr>
        <w:pStyle w:val="11"/>
        <w:widowControl/>
        <w:spacing w:before="75" w:beforeAutospacing="0" w:after="75" w:afterAutospacing="0" w:line="435" w:lineRule="atLeast"/>
        <w:rPr>
          <w:color w:val="auto"/>
          <w:highlight w:val="none"/>
        </w:rPr>
      </w:pPr>
      <w:r>
        <w:rPr>
          <w:rStyle w:val="15"/>
          <w:rFonts w:hint="eastAsia" w:ascii="宋体" w:hAnsi="宋体" w:cs="宋体"/>
          <w:color w:val="auto"/>
          <w:highlight w:val="none"/>
        </w:rPr>
        <w:t>8.首次响应文件的组成：</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8.1首次响应文件包括但不限于下列部分：</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（1）响应函</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（2）报价一览表（含详细报价书）</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（3）资格证明文件</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（4）磋商保证金凭证</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（5）技术和商务偏离表</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（6）相关技术、商务、服务响应承诺及资料</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（7）要求作为响应文件组成部分的其他内容（若有）</w:t>
      </w:r>
    </w:p>
    <w:p>
      <w:pPr>
        <w:pStyle w:val="11"/>
        <w:widowControl/>
        <w:spacing w:before="75" w:beforeAutospacing="0" w:after="75" w:afterAutospacing="0" w:line="435" w:lineRule="atLeast"/>
        <w:rPr>
          <w:color w:val="auto"/>
          <w:highlight w:val="none"/>
        </w:rPr>
      </w:pPr>
      <w:r>
        <w:rPr>
          <w:rStyle w:val="15"/>
          <w:rFonts w:hint="eastAsia" w:ascii="宋体" w:hAnsi="宋体" w:cs="宋体"/>
          <w:color w:val="auto"/>
          <w:highlight w:val="none"/>
        </w:rPr>
        <w:t>9.响应文件有效期：</w:t>
      </w:r>
    </w:p>
    <w:p>
      <w:pPr>
        <w:pStyle w:val="11"/>
        <w:widowControl/>
        <w:spacing w:before="75" w:beforeAutospacing="0" w:after="75" w:afterAutospacing="0" w:line="435" w:lineRule="atLeast"/>
        <w:ind w:firstLine="480"/>
        <w:rPr>
          <w:bCs/>
          <w:color w:val="auto"/>
          <w:highlight w:val="none"/>
        </w:rPr>
      </w:pPr>
      <w:r>
        <w:rPr>
          <w:rFonts w:hint="eastAsia" w:ascii="宋体" w:hAnsi="宋体" w:cs="宋体"/>
          <w:color w:val="auto"/>
          <w:highlight w:val="none"/>
        </w:rPr>
        <w:t>9.1响应文件有效期见竞争性磋商须知前附表第</w:t>
      </w:r>
      <w:r>
        <w:rPr>
          <w:rFonts w:hint="eastAsia" w:ascii="宋体" w:hAnsi="宋体" w:cs="宋体"/>
          <w:color w:val="auto"/>
          <w:highlight w:val="none"/>
          <w:u w:val="single"/>
        </w:rPr>
        <w:t>4</w:t>
      </w:r>
      <w:r>
        <w:rPr>
          <w:rFonts w:hint="eastAsia" w:ascii="宋体" w:hAnsi="宋体" w:cs="宋体"/>
          <w:color w:val="auto"/>
          <w:highlight w:val="none"/>
        </w:rPr>
        <w:t>项，响应文件承诺的有效期不得少于磋商文件载明的有效期，</w:t>
      </w:r>
      <w:r>
        <w:rPr>
          <w:rStyle w:val="15"/>
          <w:rFonts w:hint="eastAsia" w:ascii="宋体" w:hAnsi="宋体" w:cs="宋体"/>
          <w:b w:val="0"/>
          <w:bCs/>
          <w:color w:val="auto"/>
          <w:highlight w:val="none"/>
        </w:rPr>
        <w:t>否则其响应文件将被否决。</w:t>
      </w:r>
    </w:p>
    <w:p>
      <w:pPr>
        <w:pStyle w:val="11"/>
        <w:widowControl/>
        <w:spacing w:before="75" w:beforeAutospacing="0" w:after="75" w:afterAutospacing="0" w:line="435" w:lineRule="atLeast"/>
        <w:ind w:firstLine="480"/>
        <w:rPr>
          <w:color w:val="auto"/>
          <w:highlight w:val="none"/>
        </w:rPr>
      </w:pPr>
      <w:r>
        <w:rPr>
          <w:rFonts w:hint="eastAsia" w:ascii="宋体" w:hAnsi="宋体" w:cs="宋体"/>
          <w:bCs/>
          <w:color w:val="auto"/>
          <w:highlight w:val="none"/>
        </w:rPr>
        <w:t>9.2特殊情况下采购人可于响应文件有效期满之前要求供应商同</w:t>
      </w:r>
      <w:r>
        <w:rPr>
          <w:rFonts w:hint="eastAsia" w:ascii="宋体" w:hAnsi="宋体" w:cs="宋体"/>
          <w:color w:val="auto"/>
          <w:highlight w:val="none"/>
        </w:rPr>
        <w:t>意延长有效期，要求与答复均应为书面形式。供应商可以拒绝延长有效期，且其磋商保证金可以退还，但其供应商资格将被取消。同意延长有效期的供应商，不需要也不允许修改其响应文件及磋商承诺，但将要求其相应延长磋商保证金有效期，有关退还和不予退还磋商保证金的规定在有效期延长期内继续有效。</w:t>
      </w:r>
    </w:p>
    <w:p>
      <w:pPr>
        <w:pStyle w:val="11"/>
        <w:widowControl/>
        <w:spacing w:before="75" w:beforeAutospacing="0" w:after="75" w:afterAutospacing="0" w:line="435" w:lineRule="atLeast"/>
        <w:rPr>
          <w:color w:val="auto"/>
          <w:highlight w:val="none"/>
        </w:rPr>
      </w:pPr>
      <w:r>
        <w:rPr>
          <w:rStyle w:val="15"/>
          <w:rFonts w:hint="eastAsia" w:ascii="宋体" w:hAnsi="宋体" w:cs="宋体"/>
          <w:color w:val="auto"/>
          <w:highlight w:val="none"/>
        </w:rPr>
        <w:t>10.磋商保证金：</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10.1供应商应在参加竞争性磋商之前按竞争性磋商须知前附表第</w:t>
      </w:r>
      <w:r>
        <w:rPr>
          <w:rFonts w:hint="eastAsia" w:ascii="宋体" w:hAnsi="宋体" w:cs="宋体"/>
          <w:color w:val="auto"/>
          <w:highlight w:val="none"/>
          <w:u w:val="single"/>
        </w:rPr>
        <w:t>5</w:t>
      </w:r>
      <w:r>
        <w:rPr>
          <w:rFonts w:hint="eastAsia" w:ascii="宋体" w:hAnsi="宋体" w:cs="宋体"/>
          <w:color w:val="auto"/>
          <w:highlight w:val="none"/>
        </w:rPr>
        <w:t>项规定的金额、形式等要求提交磋商保证金。磋商文件若接受联合体形式且供应商为联合体的，则可以由联合体中的牵头方提交磋商保证金，其提交的磋商保证金对联合体各方均具有约束力。</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10.2磋商保证金为响应文件的重要组成部分之一。磋商保证金用于保护本次磋商活动免受供应商的违约或失信行为而引起的风险。未按规定提交磋商保证金的，</w:t>
      </w:r>
      <w:r>
        <w:rPr>
          <w:rStyle w:val="15"/>
          <w:rFonts w:hint="eastAsia" w:ascii="宋体" w:hAnsi="宋体" w:cs="宋体"/>
          <w:b w:val="0"/>
          <w:color w:val="auto"/>
          <w:highlight w:val="none"/>
        </w:rPr>
        <w:t>其响应文件将被否决。</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10.3磋商保证金退还：</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10.3.1采购人或者采购代理机构将在采购活动结束后及时退还供应商的保证金，但因供应商自身原因导致无法及时退还的除外（比如：采购人委托代理机构组织磋商采购，成交的供应商未向采购代理机构出具已签订合同证明材料，造成磋商保证金退还时间延误的结果，由成交的供应商自行承担和谅解等）。未成交人的保证金将在成交通知书发出后5个工作日内退还，成交人的保证金将在采购合同签订后5个工作日内退还。关于磋商保证金退还的其它要求见竞争性磋商须知前附表第</w:t>
      </w:r>
      <w:r>
        <w:rPr>
          <w:rFonts w:hint="eastAsia" w:ascii="宋体" w:hAnsi="宋体" w:cs="宋体"/>
          <w:color w:val="auto"/>
          <w:highlight w:val="none"/>
          <w:u w:val="single"/>
        </w:rPr>
        <w:t>6</w:t>
      </w:r>
      <w:r>
        <w:rPr>
          <w:rFonts w:hint="eastAsia" w:ascii="宋体" w:hAnsi="宋体" w:cs="宋体"/>
          <w:color w:val="auto"/>
          <w:highlight w:val="none"/>
        </w:rPr>
        <w:t>项。</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10.3.2质疑或投诉涉及的供应商，若其磋商保证金尚未退还，则待质疑或投诉处理完毕后，且没有发生法律法规或者磋商文件规定的不予退还磋商保证金情形，则由采购人或采购代理机构给予及时退还。</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10.4如果供应商发生以下任何一种情况时，其磋商保证金将被不予退还：</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(1)供应商在提交响应文件截止时间后撤回响应文件的；</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(2)供应商在响应文件中提供虚假材料的；</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(3)除因不可抗力或磋商文件认可的情形以外，成交人不与采购人签订合同的；</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(4)供应商与采购人、其他供应商或者采购代理机构恶意串通的；</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(5)供应商在提交最后报价后要求退出磋商的；</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(6)供应商假借以他人名义参加磋商或者以其他方式弄虚作假，骗取成交；</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(7)国家法律法规以及磋商文件中规定的其他磋商保证金不予退还的情形。</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上述不予退还磋商保证金的情况不能抵偿给采购人或采购代理机构造成损失的，供应商还要承担赔偿责任。</w:t>
      </w:r>
    </w:p>
    <w:p>
      <w:pPr>
        <w:pStyle w:val="11"/>
        <w:widowControl/>
        <w:spacing w:before="75" w:beforeAutospacing="0" w:after="75" w:afterAutospacing="0" w:line="435" w:lineRule="atLeast"/>
        <w:rPr>
          <w:color w:val="auto"/>
          <w:highlight w:val="none"/>
        </w:rPr>
      </w:pPr>
      <w:r>
        <w:rPr>
          <w:rStyle w:val="15"/>
          <w:rFonts w:hint="eastAsia" w:ascii="宋体" w:hAnsi="宋体" w:cs="宋体"/>
          <w:color w:val="auto"/>
          <w:highlight w:val="none"/>
        </w:rPr>
        <w:t>11.响应文件基本编制要求：</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11.1供应商须编制由本须知规定组成的响应文件正副本份数详见竞争性磋商须知前附表第</w:t>
      </w:r>
      <w:r>
        <w:rPr>
          <w:rFonts w:hint="eastAsia" w:ascii="宋体" w:hAnsi="宋体" w:cs="宋体"/>
          <w:color w:val="auto"/>
          <w:highlight w:val="none"/>
          <w:u w:val="single"/>
        </w:rPr>
        <w:t>7</w:t>
      </w:r>
      <w:r>
        <w:rPr>
          <w:rFonts w:hint="eastAsia" w:ascii="宋体" w:hAnsi="宋体" w:cs="宋体"/>
          <w:color w:val="auto"/>
          <w:highlight w:val="none"/>
        </w:rPr>
        <w:t>项。响应文件正本和全部副本均应使用不能擦去的墨料或墨水打印、书写或复印，副本可以用正本的完整复印件。响应文件封面上应标明“正本”、“副本”字样。正本与副本内容如有不一致，则以正本为准。</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11.2响应文件应由供应商代表签字并加盖公章。供应商代表如果不是竞争性磋商须知中定义的“单位负责人”，则其响应文件中还必须提供“单位负责人授权书”。</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11.3响应文件应尽量避免涂改、行间插字或删除。如果出现上述情况，改动之处应加盖供应商单位公章或由供应商代表签字确认。</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11.4供应商应提交证明其拟提供货物、服务或工程符合磋商文件要求的技术和商务响应文件，该文件可以是文字资料、图纸和数据，并对拟提供的货物、服务或工程的主要内容进行详细描述。</w:t>
      </w:r>
    </w:p>
    <w:p>
      <w:pPr>
        <w:pStyle w:val="11"/>
        <w:widowControl/>
        <w:numPr>
          <w:ilvl w:val="0"/>
          <w:numId w:val="2"/>
        </w:numPr>
        <w:spacing w:before="75" w:beforeAutospacing="0" w:after="75" w:afterAutospacing="0" w:line="435" w:lineRule="atLeast"/>
        <w:rPr>
          <w:rStyle w:val="15"/>
          <w:rFonts w:hint="eastAsia" w:ascii="宋体" w:hAnsi="宋体" w:cs="宋体"/>
          <w:color w:val="auto"/>
          <w:highlight w:val="none"/>
        </w:rPr>
      </w:pPr>
      <w:r>
        <w:rPr>
          <w:rStyle w:val="15"/>
          <w:rFonts w:hint="eastAsia" w:ascii="宋体" w:hAnsi="宋体" w:cs="宋体"/>
          <w:color w:val="auto"/>
          <w:highlight w:val="none"/>
        </w:rPr>
        <w:t>纸质响应文件的密封、标识、签署和提交</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12.1供应商应当将响应文件密封包装提交，并在外封套上标识项目名称、项目编号、供应商单位名称以及“于 </w:t>
      </w:r>
      <w:r>
        <w:rPr>
          <w:rFonts w:hint="eastAsia" w:ascii="宋体" w:hAnsi="宋体" w:cs="宋体"/>
          <w:color w:val="auto"/>
          <w:highlight w:val="none"/>
          <w:u w:val="single"/>
        </w:rPr>
        <w:t>        </w:t>
      </w:r>
      <w:r>
        <w:rPr>
          <w:rFonts w:hint="eastAsia" w:ascii="宋体" w:hAnsi="宋体" w:cs="宋体"/>
          <w:color w:val="auto"/>
          <w:highlight w:val="none"/>
        </w:rPr>
        <w:t>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及采购代理机构均不承担责任。</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12.2供应商应当在磋商文件规定的提交响应文件截止时间前，将首次响应文件密封送达磋商文件规定的指定地点。在截止时间后送达的首次响应文件为无效文件，采购人、采购代理机构或者磋商小组将不予接收。</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12.3供应商在首次响应文件递交截止时间前，可以对其所提交的响应文件进行补充、修改或者撤回，并书面通知采购人、采购代理机构或磋商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磋商须知中定义的“单位负责人”，则还必须提供“单位负责人授权书”），或者加盖供应商单位公章方可生效，否则采购人、采购代理机构或磋商小组将视为无效补充、修改或者撤回。采购人、采购代理机构或磋商小组不接受供应商口头、电话、传真或电子邮件形式提交的补充、修改或者撤回。</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12.4供应商在磋商过程中根据磋商小组要求，提交的有关澄清、说明、补充、更正响应文件以及最后报价响应文件等资料，均应由供应商代表签署（供应商代表如果不是竞争性磋商须知中定义的“单位负责人”，则还必须提供“单位负责人授权书”），或者加盖供应商单位公章。</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12.5除《政府采购竞争性磋商采购方式管理暂行办法》等相关法律法规及财政部门颁布的规范性文件允许的两家供应商进行竞争性磋商采购情形外，首次响应文件递交截止时间后，提交响应文件的供应商不足三家的，本次竞争性磋商活动终止，除采购任务取消情形外，采购人将依法重新组织采购或者采取其他方式采购。</w:t>
      </w:r>
    </w:p>
    <w:p>
      <w:pPr>
        <w:pStyle w:val="11"/>
        <w:widowControl/>
        <w:spacing w:before="75" w:beforeAutospacing="0" w:after="75" w:afterAutospacing="0" w:line="435" w:lineRule="atLeast"/>
        <w:jc w:val="center"/>
        <w:rPr>
          <w:color w:val="auto"/>
          <w:highlight w:val="none"/>
        </w:rPr>
      </w:pPr>
      <w:r>
        <w:rPr>
          <w:rStyle w:val="15"/>
          <w:rFonts w:hint="eastAsia" w:ascii="宋体" w:hAnsi="宋体" w:cs="宋体"/>
          <w:color w:val="auto"/>
          <w:highlight w:val="none"/>
        </w:rPr>
        <w:t>四、竞争性磋商</w:t>
      </w:r>
    </w:p>
    <w:p>
      <w:pPr>
        <w:pStyle w:val="11"/>
        <w:widowControl/>
        <w:spacing w:before="75" w:beforeAutospacing="0" w:after="75" w:afterAutospacing="0" w:line="435" w:lineRule="atLeast"/>
        <w:rPr>
          <w:color w:val="auto"/>
          <w:highlight w:val="none"/>
        </w:rPr>
      </w:pPr>
      <w:r>
        <w:rPr>
          <w:rStyle w:val="15"/>
          <w:rFonts w:hint="eastAsia" w:ascii="宋体" w:hAnsi="宋体" w:cs="宋体"/>
          <w:color w:val="auto"/>
          <w:highlight w:val="none"/>
        </w:rPr>
        <w:t>13.评审和磋商基本准则</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13.1对所有供应商的评审和磋商，都采用相同的程序和标准。</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13.2磋商及评审过程将严格按照磋商文件的要求和条件进行，磋商小组将根据供应商的响应文件，按磋商文件规定的磋商程序及评审的标准和方法进行评审、磋商，并推荐成交候选人。</w:t>
      </w:r>
    </w:p>
    <w:p>
      <w:pPr>
        <w:pStyle w:val="11"/>
        <w:widowControl/>
        <w:spacing w:before="75" w:beforeAutospacing="0" w:after="75" w:afterAutospacing="0" w:line="435" w:lineRule="atLeast"/>
        <w:rPr>
          <w:color w:val="auto"/>
          <w:highlight w:val="none"/>
        </w:rPr>
      </w:pPr>
      <w:r>
        <w:rPr>
          <w:rStyle w:val="15"/>
          <w:rFonts w:hint="eastAsia" w:ascii="宋体" w:hAnsi="宋体" w:cs="宋体"/>
          <w:color w:val="auto"/>
          <w:highlight w:val="none"/>
        </w:rPr>
        <w:t>14.磋商程序以及评审标准和方法</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14.1采购人将根据项目的特点依法组建磋商小组。磋商小组将根据磋商文件规定的程序、评审标准和方法等内容对供应商进行评审、磋商。</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14.2 在进入磋商阶段之前，磋商小组将对供应商提交的首次响应文件中资格证明文件以及其他响应文件是否对磋商文件的要求作出实质性响应进行审查。如果供应商资格审查和实质性响应审查不合格，则其响应文件将被磋商小组否决，按无效处理，不进入磋商阶段，磋商小组将告知有关供应商。</w:t>
      </w:r>
    </w:p>
    <w:p>
      <w:pPr>
        <w:pStyle w:val="11"/>
        <w:widowControl/>
        <w:spacing w:before="0" w:beforeAutospacing="0" w:after="0" w:afterAutospacing="0" w:line="400" w:lineRule="exact"/>
        <w:ind w:firstLine="480" w:firstLineChars="200"/>
        <w:rPr>
          <w:color w:val="auto"/>
          <w:highlight w:val="none"/>
        </w:rPr>
      </w:pPr>
      <w:r>
        <w:rPr>
          <w:rFonts w:hint="eastAsia" w:ascii="宋体" w:hAnsi="宋体" w:cs="宋体"/>
          <w:color w:val="auto"/>
          <w:highlight w:val="none"/>
        </w:rPr>
        <w:t>14.2.1供应商有下列情况之一者，其提交的响应文件将被视为未实质性响应磋商文件要求，磋商小组将否决其响应文件，按无效处理：</w:t>
      </w:r>
    </w:p>
    <w:tbl>
      <w:tblPr>
        <w:tblStyle w:val="13"/>
        <w:tblW w:w="4951"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73"/>
        <w:gridCol w:w="2010"/>
        <w:gridCol w:w="63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5" w:hRule="atLeast"/>
          <w:jc w:val="center"/>
        </w:trPr>
        <w:tc>
          <w:tcPr>
            <w:tcW w:w="873" w:type="dxa"/>
            <w:noWrap w:val="0"/>
            <w:vAlign w:val="top"/>
          </w:tcPr>
          <w:p>
            <w:pPr>
              <w:rPr>
                <w:color w:val="auto"/>
                <w:highlight w:val="none"/>
              </w:rPr>
            </w:pPr>
            <w:r>
              <w:rPr>
                <w:color w:val="auto"/>
                <w:highlight w:val="none"/>
              </w:rPr>
              <w:t>序号</w:t>
            </w:r>
          </w:p>
        </w:tc>
        <w:tc>
          <w:tcPr>
            <w:tcW w:w="2010" w:type="dxa"/>
            <w:noWrap w:val="0"/>
            <w:vAlign w:val="top"/>
          </w:tcPr>
          <w:p>
            <w:pPr>
              <w:rPr>
                <w:color w:val="auto"/>
                <w:highlight w:val="none"/>
              </w:rPr>
            </w:pPr>
            <w:r>
              <w:rPr>
                <w:color w:val="auto"/>
                <w:highlight w:val="none"/>
              </w:rPr>
              <w:t>符合审查要求概况</w:t>
            </w:r>
          </w:p>
        </w:tc>
        <w:tc>
          <w:tcPr>
            <w:tcW w:w="6314" w:type="dxa"/>
            <w:noWrap w:val="0"/>
            <w:vAlign w:val="top"/>
          </w:tcPr>
          <w:p>
            <w:pPr>
              <w:rPr>
                <w:color w:val="auto"/>
                <w:highlight w:val="none"/>
              </w:rPr>
            </w:pPr>
            <w:r>
              <w:rPr>
                <w:color w:val="auto"/>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5" w:hRule="atLeast"/>
          <w:jc w:val="center"/>
        </w:trPr>
        <w:tc>
          <w:tcPr>
            <w:tcW w:w="873" w:type="dxa"/>
            <w:noWrap w:val="0"/>
            <w:vAlign w:val="top"/>
          </w:tcPr>
          <w:p>
            <w:pPr>
              <w:rPr>
                <w:color w:val="auto"/>
                <w:highlight w:val="none"/>
              </w:rPr>
            </w:pPr>
            <w:r>
              <w:rPr>
                <w:color w:val="auto"/>
                <w:highlight w:val="none"/>
              </w:rPr>
              <w:t>1</w:t>
            </w:r>
          </w:p>
        </w:tc>
        <w:tc>
          <w:tcPr>
            <w:tcW w:w="2010" w:type="dxa"/>
            <w:noWrap w:val="0"/>
            <w:vAlign w:val="top"/>
          </w:tcPr>
          <w:p>
            <w:pPr>
              <w:rPr>
                <w:color w:val="auto"/>
                <w:highlight w:val="none"/>
              </w:rPr>
            </w:pPr>
            <w:r>
              <w:rPr>
                <w:color w:val="auto"/>
                <w:highlight w:val="none"/>
              </w:rPr>
              <w:t>情形1</w:t>
            </w:r>
          </w:p>
        </w:tc>
        <w:tc>
          <w:tcPr>
            <w:tcW w:w="6314" w:type="dxa"/>
            <w:noWrap w:val="0"/>
            <w:vAlign w:val="top"/>
          </w:tcPr>
          <w:p>
            <w:pPr>
              <w:rPr>
                <w:color w:val="auto"/>
                <w:highlight w:val="none"/>
              </w:rPr>
            </w:pPr>
            <w:r>
              <w:rPr>
                <w:color w:val="auto"/>
                <w:highlight w:val="none"/>
              </w:rPr>
              <w:t>响应文件中提供的资格证明文件不全的；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26" w:hRule="atLeast"/>
          <w:jc w:val="center"/>
        </w:trPr>
        <w:tc>
          <w:tcPr>
            <w:tcW w:w="873" w:type="dxa"/>
            <w:noWrap w:val="0"/>
            <w:vAlign w:val="top"/>
          </w:tcPr>
          <w:p>
            <w:pPr>
              <w:rPr>
                <w:color w:val="auto"/>
                <w:highlight w:val="none"/>
              </w:rPr>
            </w:pPr>
            <w:r>
              <w:rPr>
                <w:color w:val="auto"/>
                <w:highlight w:val="none"/>
              </w:rPr>
              <w:t>2</w:t>
            </w:r>
          </w:p>
        </w:tc>
        <w:tc>
          <w:tcPr>
            <w:tcW w:w="2010" w:type="dxa"/>
            <w:noWrap w:val="0"/>
            <w:vAlign w:val="top"/>
          </w:tcPr>
          <w:p>
            <w:pPr>
              <w:rPr>
                <w:color w:val="auto"/>
                <w:highlight w:val="none"/>
              </w:rPr>
            </w:pPr>
            <w:r>
              <w:rPr>
                <w:color w:val="auto"/>
                <w:highlight w:val="none"/>
              </w:rPr>
              <w:t>情形2</w:t>
            </w:r>
          </w:p>
        </w:tc>
        <w:tc>
          <w:tcPr>
            <w:tcW w:w="6314" w:type="dxa"/>
            <w:noWrap w:val="0"/>
            <w:vAlign w:val="top"/>
          </w:tcPr>
          <w:p>
            <w:pPr>
              <w:rPr>
                <w:color w:val="auto"/>
                <w:highlight w:val="none"/>
              </w:rPr>
            </w:pPr>
            <w:r>
              <w:rPr>
                <w:color w:val="auto"/>
                <w:highlight w:val="none"/>
              </w:rPr>
              <w:t>响应文件未按磋商文件规定由</w:t>
            </w:r>
            <w:r>
              <w:rPr>
                <w:rFonts w:hint="eastAsia"/>
                <w:color w:val="auto"/>
                <w:highlight w:val="none"/>
              </w:rPr>
              <w:t>供应商</w:t>
            </w:r>
            <w:r>
              <w:rPr>
                <w:color w:val="auto"/>
                <w:highlight w:val="none"/>
              </w:rPr>
              <w:t>代表签字，或未按磋商文件规定加盖</w:t>
            </w:r>
            <w:r>
              <w:rPr>
                <w:rFonts w:hint="eastAsia"/>
                <w:color w:val="auto"/>
                <w:highlight w:val="none"/>
              </w:rPr>
              <w:t>供应商</w:t>
            </w:r>
            <w:r>
              <w:rPr>
                <w:color w:val="auto"/>
                <w:highlight w:val="none"/>
              </w:rPr>
              <w:t>公章的；或</w:t>
            </w:r>
            <w:r>
              <w:rPr>
                <w:rFonts w:hint="eastAsia"/>
                <w:color w:val="auto"/>
                <w:highlight w:val="none"/>
              </w:rPr>
              <w:t>供应商</w:t>
            </w:r>
            <w:r>
              <w:rPr>
                <w:color w:val="auto"/>
                <w:highlight w:val="none"/>
              </w:rPr>
              <w:t>代表未获得有效授权的；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5" w:hRule="atLeast"/>
          <w:jc w:val="center"/>
        </w:trPr>
        <w:tc>
          <w:tcPr>
            <w:tcW w:w="873" w:type="dxa"/>
            <w:noWrap w:val="0"/>
            <w:vAlign w:val="top"/>
          </w:tcPr>
          <w:p>
            <w:pPr>
              <w:rPr>
                <w:color w:val="auto"/>
                <w:highlight w:val="none"/>
              </w:rPr>
            </w:pPr>
            <w:r>
              <w:rPr>
                <w:color w:val="auto"/>
                <w:highlight w:val="none"/>
              </w:rPr>
              <w:t>3</w:t>
            </w:r>
          </w:p>
        </w:tc>
        <w:tc>
          <w:tcPr>
            <w:tcW w:w="2010" w:type="dxa"/>
            <w:noWrap w:val="0"/>
            <w:vAlign w:val="top"/>
          </w:tcPr>
          <w:p>
            <w:pPr>
              <w:rPr>
                <w:color w:val="auto"/>
                <w:highlight w:val="none"/>
              </w:rPr>
            </w:pPr>
            <w:r>
              <w:rPr>
                <w:color w:val="auto"/>
                <w:highlight w:val="none"/>
              </w:rPr>
              <w:t>情形3</w:t>
            </w:r>
          </w:p>
        </w:tc>
        <w:tc>
          <w:tcPr>
            <w:tcW w:w="6314" w:type="dxa"/>
            <w:noWrap w:val="0"/>
            <w:vAlign w:val="top"/>
          </w:tcPr>
          <w:p>
            <w:pPr>
              <w:rPr>
                <w:color w:val="auto"/>
                <w:highlight w:val="none"/>
              </w:rPr>
            </w:pPr>
            <w:r>
              <w:rPr>
                <w:rFonts w:hint="eastAsia"/>
                <w:color w:val="auto"/>
                <w:highlight w:val="none"/>
              </w:rPr>
              <w:t>供应商</w:t>
            </w:r>
            <w:r>
              <w:rPr>
                <w:color w:val="auto"/>
                <w:highlight w:val="none"/>
              </w:rPr>
              <w:t>未按磋商文件规定提交磋商保证金的；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5" w:hRule="atLeast"/>
          <w:jc w:val="center"/>
        </w:trPr>
        <w:tc>
          <w:tcPr>
            <w:tcW w:w="873" w:type="dxa"/>
            <w:noWrap w:val="0"/>
            <w:vAlign w:val="top"/>
          </w:tcPr>
          <w:p>
            <w:pPr>
              <w:rPr>
                <w:color w:val="auto"/>
                <w:highlight w:val="none"/>
              </w:rPr>
            </w:pPr>
            <w:r>
              <w:rPr>
                <w:color w:val="auto"/>
                <w:highlight w:val="none"/>
              </w:rPr>
              <w:t>4</w:t>
            </w:r>
          </w:p>
        </w:tc>
        <w:tc>
          <w:tcPr>
            <w:tcW w:w="2010" w:type="dxa"/>
            <w:noWrap w:val="0"/>
            <w:vAlign w:val="top"/>
          </w:tcPr>
          <w:p>
            <w:pPr>
              <w:rPr>
                <w:color w:val="auto"/>
                <w:highlight w:val="none"/>
              </w:rPr>
            </w:pPr>
            <w:r>
              <w:rPr>
                <w:color w:val="auto"/>
                <w:highlight w:val="none"/>
              </w:rPr>
              <w:t>情形4</w:t>
            </w:r>
          </w:p>
        </w:tc>
        <w:tc>
          <w:tcPr>
            <w:tcW w:w="6314" w:type="dxa"/>
            <w:noWrap w:val="0"/>
            <w:vAlign w:val="top"/>
          </w:tcPr>
          <w:p>
            <w:pPr>
              <w:rPr>
                <w:color w:val="auto"/>
                <w:highlight w:val="none"/>
              </w:rPr>
            </w:pPr>
            <w:r>
              <w:rPr>
                <w:color w:val="auto"/>
                <w:highlight w:val="none"/>
              </w:rPr>
              <w:t>响应文件有效期不满足磋商文件要求的；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86" w:hRule="atLeast"/>
          <w:jc w:val="center"/>
        </w:trPr>
        <w:tc>
          <w:tcPr>
            <w:tcW w:w="873" w:type="dxa"/>
            <w:noWrap w:val="0"/>
            <w:vAlign w:val="top"/>
          </w:tcPr>
          <w:p>
            <w:pPr>
              <w:rPr>
                <w:color w:val="auto"/>
                <w:highlight w:val="none"/>
              </w:rPr>
            </w:pPr>
            <w:r>
              <w:rPr>
                <w:color w:val="auto"/>
                <w:highlight w:val="none"/>
              </w:rPr>
              <w:t>5</w:t>
            </w:r>
          </w:p>
        </w:tc>
        <w:tc>
          <w:tcPr>
            <w:tcW w:w="2010" w:type="dxa"/>
            <w:noWrap w:val="0"/>
            <w:vAlign w:val="top"/>
          </w:tcPr>
          <w:p>
            <w:pPr>
              <w:rPr>
                <w:color w:val="auto"/>
                <w:highlight w:val="none"/>
              </w:rPr>
            </w:pPr>
            <w:r>
              <w:rPr>
                <w:color w:val="auto"/>
                <w:highlight w:val="none"/>
              </w:rPr>
              <w:t>情形5</w:t>
            </w:r>
          </w:p>
        </w:tc>
        <w:tc>
          <w:tcPr>
            <w:tcW w:w="6314" w:type="dxa"/>
            <w:noWrap w:val="0"/>
            <w:vAlign w:val="top"/>
          </w:tcPr>
          <w:p>
            <w:pPr>
              <w:rPr>
                <w:color w:val="auto"/>
                <w:highlight w:val="none"/>
              </w:rPr>
            </w:pPr>
            <w:r>
              <w:rPr>
                <w:color w:val="auto"/>
                <w:highlight w:val="none"/>
              </w:rPr>
              <w:t>响应内容与磋商采购内容及要求有重大偏离或保留的，限制了采购人的权利或者减少成交人合同项下的义务；（由于磋商项目本身特点，不能详细列明采购标的的技术、服务要求的除外）；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5" w:hRule="atLeast"/>
          <w:jc w:val="center"/>
        </w:trPr>
        <w:tc>
          <w:tcPr>
            <w:tcW w:w="873" w:type="dxa"/>
            <w:noWrap w:val="0"/>
            <w:vAlign w:val="top"/>
          </w:tcPr>
          <w:p>
            <w:pPr>
              <w:rPr>
                <w:color w:val="auto"/>
                <w:highlight w:val="none"/>
              </w:rPr>
            </w:pPr>
            <w:r>
              <w:rPr>
                <w:color w:val="auto"/>
                <w:highlight w:val="none"/>
              </w:rPr>
              <w:t>6</w:t>
            </w:r>
          </w:p>
        </w:tc>
        <w:tc>
          <w:tcPr>
            <w:tcW w:w="2010" w:type="dxa"/>
            <w:noWrap w:val="0"/>
            <w:vAlign w:val="top"/>
          </w:tcPr>
          <w:p>
            <w:pPr>
              <w:rPr>
                <w:color w:val="auto"/>
                <w:highlight w:val="none"/>
              </w:rPr>
            </w:pPr>
            <w:r>
              <w:rPr>
                <w:color w:val="auto"/>
                <w:highlight w:val="none"/>
              </w:rPr>
              <w:t>情形6</w:t>
            </w:r>
          </w:p>
        </w:tc>
        <w:tc>
          <w:tcPr>
            <w:tcW w:w="6314" w:type="dxa"/>
            <w:noWrap w:val="0"/>
            <w:vAlign w:val="top"/>
          </w:tcPr>
          <w:p>
            <w:pPr>
              <w:rPr>
                <w:color w:val="auto"/>
                <w:highlight w:val="none"/>
              </w:rPr>
            </w:pPr>
            <w:r>
              <w:rPr>
                <w:color w:val="auto"/>
                <w:highlight w:val="none"/>
              </w:rPr>
              <w:t>响应文件中附有采购人无法接受的条件的；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31" w:hRule="atLeast"/>
          <w:jc w:val="center"/>
        </w:trPr>
        <w:tc>
          <w:tcPr>
            <w:tcW w:w="873" w:type="dxa"/>
            <w:noWrap w:val="0"/>
            <w:vAlign w:val="top"/>
          </w:tcPr>
          <w:p>
            <w:pPr>
              <w:rPr>
                <w:color w:val="auto"/>
                <w:highlight w:val="none"/>
              </w:rPr>
            </w:pPr>
            <w:r>
              <w:rPr>
                <w:color w:val="auto"/>
                <w:highlight w:val="none"/>
              </w:rPr>
              <w:t>7</w:t>
            </w:r>
          </w:p>
        </w:tc>
        <w:tc>
          <w:tcPr>
            <w:tcW w:w="2010" w:type="dxa"/>
            <w:noWrap w:val="0"/>
            <w:vAlign w:val="top"/>
          </w:tcPr>
          <w:p>
            <w:pPr>
              <w:rPr>
                <w:color w:val="auto"/>
                <w:highlight w:val="none"/>
              </w:rPr>
            </w:pPr>
            <w:r>
              <w:rPr>
                <w:color w:val="auto"/>
                <w:highlight w:val="none"/>
              </w:rPr>
              <w:t>情形7</w:t>
            </w:r>
          </w:p>
        </w:tc>
        <w:tc>
          <w:tcPr>
            <w:tcW w:w="6314" w:type="dxa"/>
            <w:noWrap w:val="0"/>
            <w:vAlign w:val="top"/>
          </w:tcPr>
          <w:p>
            <w:pPr>
              <w:rPr>
                <w:color w:val="auto"/>
                <w:highlight w:val="none"/>
              </w:rPr>
            </w:pPr>
            <w:r>
              <w:rPr>
                <w:color w:val="auto"/>
                <w:highlight w:val="none"/>
              </w:rPr>
              <w:t>不符合磋商文件中规定的其它实质性条款（比如：报价超过了磋商文件规定的最高限价）。</w:t>
            </w:r>
          </w:p>
        </w:tc>
      </w:tr>
    </w:tbl>
    <w:p>
      <w:pPr>
        <w:pStyle w:val="11"/>
        <w:widowControl/>
        <w:spacing w:before="75" w:beforeAutospacing="0" w:after="75" w:afterAutospacing="0" w:line="435" w:lineRule="atLeast"/>
        <w:ind w:firstLine="480"/>
        <w:rPr>
          <w:rFonts w:hint="eastAsia" w:ascii="宋体" w:hAnsi="宋体" w:cs="宋体"/>
          <w:color w:val="auto"/>
          <w:highlight w:val="none"/>
        </w:rPr>
      </w:pPr>
      <w:r>
        <w:rPr>
          <w:rFonts w:hint="eastAsia" w:ascii="宋体" w:hAnsi="宋体" w:cs="宋体"/>
          <w:color w:val="auto"/>
          <w:highlight w:val="none"/>
        </w:rPr>
        <w:t>14.2.2其他情形</w:t>
      </w:r>
    </w:p>
    <w:p>
      <w:pPr>
        <w:widowControl/>
        <w:jc w:val="left"/>
        <w:rPr>
          <w:color w:val="auto"/>
          <w:highlight w:val="none"/>
        </w:rPr>
      </w:pPr>
      <w:r>
        <w:rPr>
          <w:rFonts w:ascii="宋体" w:hAnsi="宋体" w:cs="宋体"/>
          <w:color w:val="auto"/>
          <w:kern w:val="0"/>
          <w:sz w:val="24"/>
          <w:highlight w:val="none"/>
          <w:lang w:bidi="ar"/>
        </w:rPr>
        <w:t>技术符合性</w:t>
      </w:r>
    </w:p>
    <w:tbl>
      <w:tblPr>
        <w:tblStyle w:val="13"/>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910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5000" w:type="pct"/>
            <w:tcBorders>
              <w:top w:val="outset" w:color="auto" w:sz="6" w:space="0"/>
              <w:left w:val="outset" w:color="auto" w:sz="6" w:space="0"/>
              <w:bottom w:val="outset" w:color="auto" w:sz="6" w:space="0"/>
              <w:right w:val="outset" w:color="auto" w:sz="6" w:space="0"/>
            </w:tcBorders>
            <w:noWrap w:val="0"/>
            <w:vAlign w:val="center"/>
          </w:tcPr>
          <w:p>
            <w:pPr>
              <w:widowControl/>
              <w:jc w:val="center"/>
              <w:rPr>
                <w:b/>
                <w:color w:val="auto"/>
                <w:szCs w:val="21"/>
                <w:highlight w:val="none"/>
              </w:rPr>
            </w:pPr>
            <w:r>
              <w:rPr>
                <w:rFonts w:ascii="宋体" w:hAnsi="宋体" w:cs="宋体"/>
                <w:b/>
                <w:color w:val="auto"/>
                <w:kern w:val="0"/>
                <w:szCs w:val="21"/>
                <w:highlight w:val="none"/>
                <w:lang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noWrap w:val="0"/>
            <w:vAlign w:val="center"/>
          </w:tcPr>
          <w:p>
            <w:pPr>
              <w:widowControl/>
              <w:jc w:val="left"/>
              <w:rPr>
                <w:color w:val="auto"/>
                <w:szCs w:val="21"/>
                <w:highlight w:val="none"/>
              </w:rPr>
            </w:pPr>
            <w:r>
              <w:rPr>
                <w:rFonts w:ascii="宋体" w:hAnsi="宋体" w:cs="宋体"/>
                <w:color w:val="auto"/>
                <w:kern w:val="0"/>
                <w:szCs w:val="21"/>
                <w:highlight w:val="none"/>
                <w:lang w:bidi="ar"/>
              </w:rPr>
              <w:t>不符合磋商文件中规定的其它技术实质性要求条款的视为无效响应。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color w:val="auto"/>
                <w:kern w:val="0"/>
                <w:szCs w:val="21"/>
                <w:highlight w:val="none"/>
                <w:lang w:bidi="ar"/>
              </w:rPr>
            </w:pPr>
            <w:r>
              <w:rPr>
                <w:color w:val="auto"/>
                <w:highlight w:val="none"/>
              </w:rPr>
              <w:t>供应商的响应文件未完全响应磋商文件第三章采购内容及要求中“二、技术要求”带“★”标示的全部条款的，按无效响应处理。</w:t>
            </w:r>
          </w:p>
        </w:tc>
      </w:tr>
    </w:tbl>
    <w:p>
      <w:pPr>
        <w:widowControl/>
        <w:jc w:val="left"/>
        <w:rPr>
          <w:rFonts w:ascii="宋体" w:hAnsi="宋体" w:cs="宋体"/>
          <w:color w:val="auto"/>
          <w:kern w:val="0"/>
          <w:sz w:val="24"/>
          <w:highlight w:val="none"/>
          <w:lang w:bidi="ar"/>
        </w:rPr>
      </w:pPr>
    </w:p>
    <w:p>
      <w:pPr>
        <w:widowControl/>
        <w:jc w:val="left"/>
        <w:rPr>
          <w:color w:val="auto"/>
          <w:highlight w:val="none"/>
        </w:rPr>
      </w:pPr>
      <w:r>
        <w:rPr>
          <w:rFonts w:ascii="宋体" w:hAnsi="宋体" w:cs="宋体"/>
          <w:color w:val="auto"/>
          <w:kern w:val="0"/>
          <w:sz w:val="24"/>
          <w:highlight w:val="none"/>
          <w:lang w:bidi="ar"/>
        </w:rPr>
        <w:t>商务符合性</w:t>
      </w:r>
    </w:p>
    <w:tbl>
      <w:tblPr>
        <w:tblStyle w:val="13"/>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910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5000" w:type="pct"/>
            <w:tcBorders>
              <w:top w:val="outset" w:color="auto" w:sz="6" w:space="0"/>
              <w:left w:val="outset" w:color="auto" w:sz="6" w:space="0"/>
              <w:bottom w:val="outset" w:color="auto" w:sz="6" w:space="0"/>
              <w:right w:val="outset" w:color="auto" w:sz="6" w:space="0"/>
            </w:tcBorders>
            <w:noWrap w:val="0"/>
            <w:vAlign w:val="center"/>
          </w:tcPr>
          <w:p>
            <w:pPr>
              <w:widowControl/>
              <w:jc w:val="center"/>
              <w:rPr>
                <w:b/>
                <w:color w:val="auto"/>
                <w:szCs w:val="21"/>
                <w:highlight w:val="none"/>
              </w:rPr>
            </w:pPr>
            <w:r>
              <w:rPr>
                <w:rFonts w:ascii="宋体" w:hAnsi="宋体" w:cs="宋体"/>
                <w:b/>
                <w:color w:val="auto"/>
                <w:kern w:val="0"/>
                <w:szCs w:val="21"/>
                <w:highlight w:val="none"/>
                <w:lang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noWrap w:val="0"/>
            <w:vAlign w:val="center"/>
          </w:tcPr>
          <w:p>
            <w:pPr>
              <w:widowControl/>
              <w:jc w:val="left"/>
              <w:rPr>
                <w:color w:val="auto"/>
                <w:szCs w:val="21"/>
                <w:highlight w:val="none"/>
              </w:rPr>
            </w:pPr>
            <w:r>
              <w:rPr>
                <w:rFonts w:ascii="宋体" w:hAnsi="宋体" w:cs="宋体"/>
                <w:color w:val="auto"/>
                <w:kern w:val="0"/>
                <w:szCs w:val="21"/>
                <w:highlight w:val="none"/>
                <w:lang w:bidi="ar"/>
              </w:rPr>
              <w:t>交付地点、交付时间、交付条件、支付方式不满足磋商文件要求的视为无效响应。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noWrap w:val="0"/>
            <w:vAlign w:val="center"/>
          </w:tcPr>
          <w:p>
            <w:pPr>
              <w:widowControl/>
              <w:jc w:val="left"/>
              <w:rPr>
                <w:color w:val="auto"/>
                <w:szCs w:val="21"/>
                <w:highlight w:val="none"/>
              </w:rPr>
            </w:pPr>
            <w:r>
              <w:rPr>
                <w:rFonts w:ascii="宋体" w:hAnsi="宋体" w:cs="宋体"/>
                <w:color w:val="auto"/>
                <w:kern w:val="0"/>
                <w:szCs w:val="21"/>
                <w:highlight w:val="none"/>
                <w:lang w:bidi="ar"/>
              </w:rPr>
              <w:t>不符合磋商文件中规定的其它实质性要求条款的视为无效响应。</w:t>
            </w:r>
          </w:p>
        </w:tc>
      </w:tr>
    </w:tbl>
    <w:p>
      <w:pPr>
        <w:widowControl/>
        <w:jc w:val="left"/>
        <w:rPr>
          <w:rFonts w:ascii="宋体" w:hAnsi="宋体" w:cs="宋体"/>
          <w:color w:val="auto"/>
          <w:kern w:val="0"/>
          <w:sz w:val="24"/>
          <w:highlight w:val="none"/>
          <w:lang w:bidi="ar"/>
        </w:rPr>
      </w:pPr>
    </w:p>
    <w:p>
      <w:pPr>
        <w:widowControl/>
        <w:jc w:val="left"/>
        <w:rPr>
          <w:color w:val="auto"/>
          <w:highlight w:val="none"/>
        </w:rPr>
      </w:pPr>
      <w:r>
        <w:rPr>
          <w:rFonts w:ascii="宋体" w:hAnsi="宋体" w:cs="宋体"/>
          <w:color w:val="auto"/>
          <w:kern w:val="0"/>
          <w:sz w:val="24"/>
          <w:highlight w:val="none"/>
          <w:lang w:bidi="ar"/>
        </w:rPr>
        <w:t>价格符合性</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磋商小组决定供应商的响应性只根据响应文件本身的内容，而不寻求其他的外部证据。</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14.3磋商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14.4只有资格审查和实质性响应审查合格的供应商才能进入磋商阶段。磋商小组所有成员将集中与单一供应商分别进行磋商，并给予所有参加磋商的合格供应商平等的磋商机会。磋商过程中，磋商小组可以根据磋商文件和磋商情况实质性变动采购需求中的技术、服务要求以及合同草案条款，但不得变动竞争性磋商文件中的其他内容。实质性变动的内容，须经采购人代表确认。磋商过程中对磋商文件作出的实质性变动是磋商文件的有效组成部分，磋商小组将及时以书面形式同时通知所有参加磋商的供应商。根据采购项目的特点和需要，在磋商过程中可能发生实质性变动的内容详见竞争性磋商须知前附表第</w:t>
      </w:r>
      <w:r>
        <w:rPr>
          <w:rFonts w:hint="eastAsia" w:ascii="宋体" w:hAnsi="宋体" w:cs="宋体"/>
          <w:color w:val="auto"/>
          <w:highlight w:val="none"/>
          <w:u w:val="single"/>
        </w:rPr>
        <w:t>8</w:t>
      </w:r>
      <w:r>
        <w:rPr>
          <w:rFonts w:hint="eastAsia" w:ascii="宋体" w:hAnsi="宋体" w:cs="宋体"/>
          <w:color w:val="auto"/>
          <w:highlight w:val="none"/>
        </w:rPr>
        <w:t>项。</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14.5合格供应商应当按照磋商文件的变动情况和磋商小组的要求提交补充响应文件（首次响应文件中已经提交过的如资格证明文件等资料，不用重新提供），并由供应商代表签字或加盖供应商单位公章。供应商代表如果不是竞争性磋商须知中定义的“单位负责人”，则还必须提供“单位负责人授权书”。供应商为自然人的，应当由本人签字并附身份证明。</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14.6磋商文件能够详细列明采购标的的技术、服务要求的，磋商结束后，磋商小组应当要求所有实质性响应的合格供应商在规定时间内提交最后报价。属于《政府采购竞争性磋商采购方式管理暂行办法》等相关法律法规及财政部门颁布的规范性文件允许的两家供应商进行竞争性磋商采购情形，则提交最后报价的供应商可以为2家。</w:t>
      </w:r>
    </w:p>
    <w:p>
      <w:pPr>
        <w:pStyle w:val="11"/>
        <w:widowControl/>
        <w:spacing w:before="75" w:beforeAutospacing="0" w:after="75" w:afterAutospacing="0" w:line="435" w:lineRule="atLeast"/>
        <w:rPr>
          <w:rFonts w:hint="eastAsia" w:ascii="宋体" w:hAnsi="宋体" w:cs="宋体"/>
          <w:color w:val="auto"/>
          <w:highlight w:val="none"/>
        </w:rPr>
      </w:pPr>
      <w:r>
        <w:rPr>
          <w:rFonts w:hint="eastAsia" w:ascii="宋体" w:hAnsi="宋体" w:cs="宋体"/>
          <w:color w:val="auto"/>
          <w:highlight w:val="none"/>
        </w:rPr>
        <w:t>  14.7磋商文件不能详细列明采购标的的技术、服务要求，需经磋商由供应商提供最终设计方案或解决方案的，磋商结束后，磋商小组应当按照少数服从多数的原则投票推荐3家及以上供应商的设计方案或者解决方案，具体推荐数量和投票细则等内容按照“竞争性磋商须知前附表”中专项附件：“评审的标准和方法”的相关条款规定执行，并要求其在规定时间内提交最后报价。属于《政府采购竞争性磋商采购方式管理暂行办法》等相关法律法规及财政部门颁布的规范性文件允许的两家供应商进行竞争性磋商采购情形，则提交最后报价的供应商可以为2家。</w:t>
      </w:r>
    </w:p>
    <w:p>
      <w:pPr>
        <w:pStyle w:val="11"/>
        <w:widowControl/>
        <w:spacing w:before="75" w:beforeAutospacing="0" w:after="75" w:afterAutospacing="0" w:line="435" w:lineRule="atLeast"/>
        <w:rPr>
          <w:rFonts w:hint="eastAsia" w:ascii="宋体" w:hAnsi="宋体" w:cs="宋体"/>
          <w:color w:val="auto"/>
          <w:highlight w:val="none"/>
        </w:rPr>
      </w:pPr>
      <w:r>
        <w:rPr>
          <w:rFonts w:hint="eastAsia" w:ascii="宋体" w:hAnsi="宋体" w:cs="宋体"/>
          <w:color w:val="auto"/>
          <w:highlight w:val="none"/>
        </w:rPr>
        <w:t>  14.8最后报价是供应商响应文件的有效组成部分。如果供应商的最后报价明显低于其他最后报价，使得其最后报价有可能影响商品或服务质量或者不能诚信履约的，供应商应当按照磋商小组要求，在规定时间内作出书面说明，必要时提交相关证明材料；供应商不能合理说明其报价合理性的，磋商小组可以做无效响应文件和无效报价处理。</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14.9磋商小组将采用综合评分法对提交最后报价的供应商的响应文件和最后报价进行综合评分，具体评审的标准和方法详见竞争性磋商须知前附表第9项。磋商小组根据综合评分情况，按照评审得分由高到低顺序推荐3名及以上成交候选供应商，并编写评审报告。属于《政府采购竞争性磋商采购方式管理暂行办法》等相关法律法规及财政部门颁布的规范性文件允许的两家供应商进行竞争性磋商采购情形，则可以按照评审得分由高到低顺序推荐2名成交候选供应商。如果成交候选供应商出现并列相同的评审得分，则相应处理方式按照“竞争性磋商须知前附表”中专项附件：“评审的标准和方法”的相关条款规定执行。</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14.10供应商提交的响应文件和资料将给予保密，但不退回（有关证件或证照的原件除外）。</w:t>
      </w:r>
    </w:p>
    <w:p>
      <w:pPr>
        <w:pStyle w:val="11"/>
        <w:widowControl/>
        <w:spacing w:before="75" w:beforeAutospacing="0" w:after="75" w:afterAutospacing="0" w:line="435" w:lineRule="atLeast"/>
        <w:jc w:val="center"/>
        <w:rPr>
          <w:color w:val="auto"/>
          <w:highlight w:val="none"/>
        </w:rPr>
      </w:pPr>
      <w:r>
        <w:rPr>
          <w:rStyle w:val="15"/>
          <w:rFonts w:hint="eastAsia" w:ascii="宋体" w:hAnsi="宋体" w:cs="宋体"/>
          <w:color w:val="auto"/>
          <w:highlight w:val="none"/>
        </w:rPr>
        <w:t>五、合同授予</w:t>
      </w:r>
    </w:p>
    <w:p>
      <w:pPr>
        <w:pStyle w:val="11"/>
        <w:widowControl/>
        <w:spacing w:before="75" w:beforeAutospacing="0" w:after="75" w:afterAutospacing="0" w:line="435" w:lineRule="atLeast"/>
        <w:rPr>
          <w:color w:val="auto"/>
          <w:highlight w:val="none"/>
        </w:rPr>
      </w:pPr>
      <w:r>
        <w:rPr>
          <w:rStyle w:val="15"/>
          <w:rFonts w:hint="eastAsia" w:ascii="宋体" w:hAnsi="宋体" w:cs="宋体"/>
          <w:color w:val="auto"/>
          <w:highlight w:val="none"/>
        </w:rPr>
        <w:t>15.授予合同的准则：</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15.1除不可抗力等因素外，合同将授予响应文件符合竞争性磋商文件要求，能够圆满地履行合同，且被磋商小组推荐为第一成交候选人的供应商。</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15.2 政府采购合同履行中，采购人需追加与合同标的相同的货物、工程或者服务的，在不改变合同其他条款的前提下，可以与成交人协商签订补充合同，但所有补充合同的采购金额不得超过原合同采购金额的百分之十。</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15.3为维护国家利益和社会公共利益，最低报价不是被授予合同的绝对保证。</w:t>
      </w:r>
    </w:p>
    <w:p>
      <w:pPr>
        <w:pStyle w:val="11"/>
        <w:widowControl/>
        <w:spacing w:before="75" w:beforeAutospacing="0" w:after="75" w:afterAutospacing="0" w:line="435" w:lineRule="atLeast"/>
        <w:rPr>
          <w:color w:val="auto"/>
          <w:highlight w:val="none"/>
        </w:rPr>
      </w:pPr>
      <w:r>
        <w:rPr>
          <w:rStyle w:val="15"/>
          <w:rFonts w:hint="eastAsia" w:ascii="宋体" w:hAnsi="宋体" w:cs="宋体"/>
          <w:color w:val="auto"/>
          <w:highlight w:val="none"/>
        </w:rPr>
        <w:t>16.确定成交供应商：</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16.1采购人委托代理机构组织竞争性磋商采购活动的，采购代理机构在评审结束后2个工作日内将评审报告送采购人确认。</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16.2采购人在收到评审报告后5个工作日内，从评审报告提出的成交候选人中，按照综合评分得分排序由高到低的原则确定成交人，也可以书面授权磋商小组直接确定成交人。采购人逾期未确定成交人且不提出异议的，视为确定评审报告提出的排序第一的供应商为成交人。</w:t>
      </w:r>
    </w:p>
    <w:p>
      <w:pPr>
        <w:pStyle w:val="11"/>
        <w:widowControl/>
        <w:spacing w:before="75" w:beforeAutospacing="0" w:after="75" w:afterAutospacing="0" w:line="435" w:lineRule="atLeast"/>
        <w:rPr>
          <w:color w:val="auto"/>
          <w:highlight w:val="none"/>
        </w:rPr>
      </w:pPr>
      <w:r>
        <w:rPr>
          <w:rStyle w:val="15"/>
          <w:rFonts w:hint="eastAsia" w:ascii="宋体" w:hAnsi="宋体" w:cs="宋体"/>
          <w:color w:val="auto"/>
          <w:highlight w:val="none"/>
        </w:rPr>
        <w:t>17.成交通知:</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17.1采购人或者采购代理机构在成交人确定后2个工作日内，在省级以上财政部门指定的媒体上公告成交结果，同时向成交人发出成交通知书。采用书面推荐供应商参加采购活动的，还将公告采购人和评审专家的推荐意见。</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17.2成交通知书对采购人和成交人具有同等法律效力。除不可抗力因素或政策原因外，成交通知书发出后，采购人改变成交结果，或者成交人拒绝签订政府采购合同的，均应当承担相应的法律责任。未成交人对成交结果公告如果有异议的，应当自成交结果公告刊登之日起7个工作日内，以书面形式向采购人或采购代理机构提出质疑，有关质疑、投诉的相关规定和要求，按照《中华人民共和国政府采购法》、《中华人民共和国政府采购法实施条例》、有关财政部规章等法律文件规定执行。</w:t>
      </w:r>
    </w:p>
    <w:p>
      <w:pPr>
        <w:pStyle w:val="11"/>
        <w:widowControl/>
        <w:spacing w:before="75" w:beforeAutospacing="0" w:after="75" w:afterAutospacing="0" w:line="435" w:lineRule="atLeast"/>
        <w:rPr>
          <w:color w:val="auto"/>
          <w:highlight w:val="none"/>
        </w:rPr>
      </w:pPr>
      <w:r>
        <w:rPr>
          <w:rStyle w:val="15"/>
          <w:rFonts w:hint="eastAsia" w:ascii="宋体" w:hAnsi="宋体" w:cs="宋体"/>
          <w:color w:val="auto"/>
          <w:highlight w:val="none"/>
        </w:rPr>
        <w:t>18.签订合同：</w:t>
      </w:r>
    </w:p>
    <w:p>
      <w:pPr>
        <w:pStyle w:val="11"/>
        <w:widowControl/>
        <w:spacing w:before="75" w:beforeAutospacing="0" w:after="75" w:afterAutospacing="0" w:line="435" w:lineRule="atLeast"/>
        <w:rPr>
          <w:rFonts w:hint="eastAsia" w:ascii="宋体" w:hAnsi="宋体" w:cs="宋体"/>
          <w:color w:val="auto"/>
          <w:highlight w:val="none"/>
        </w:rPr>
      </w:pPr>
      <w:r>
        <w:rPr>
          <w:rFonts w:hint="eastAsia" w:ascii="宋体" w:hAnsi="宋体" w:cs="宋体"/>
          <w:color w:val="auto"/>
          <w:highlight w:val="none"/>
        </w:rPr>
        <w:t>  18.1采购人与成交人应当在成交通知书发出之日起30日内，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人应当按照成交通知书的规定和要求，及时与采购人签订合同。</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18.2竞争性磋商文件、成交人的响应文件及其有关澄清承诺文件等，均为签订政府采购合同的依据和组成部分。</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18.3采购人不得向成交人提出超出竞争性磋商文件以外的任何要求作为签订合同的条件，不得与成交人订立背离竞争性磋商文件确定的合同文本以及采购标的、规格型号、采购金额、采购数量、技术和服务要求等实质性内容的协议。</w:t>
      </w:r>
    </w:p>
    <w:p>
      <w:pPr>
        <w:pStyle w:val="11"/>
        <w:widowControl/>
        <w:spacing w:before="75" w:beforeAutospacing="0" w:after="75" w:afterAutospacing="0" w:line="435" w:lineRule="atLeast"/>
        <w:jc w:val="center"/>
        <w:rPr>
          <w:color w:val="auto"/>
          <w:highlight w:val="none"/>
        </w:rPr>
      </w:pPr>
      <w:r>
        <w:rPr>
          <w:rStyle w:val="15"/>
          <w:rFonts w:hint="eastAsia" w:ascii="宋体" w:hAnsi="宋体" w:cs="宋体"/>
          <w:color w:val="auto"/>
          <w:highlight w:val="none"/>
        </w:rPr>
        <w:t>六、询问、质疑与投诉</w:t>
      </w:r>
    </w:p>
    <w:p>
      <w:pPr>
        <w:pStyle w:val="11"/>
        <w:widowControl/>
        <w:spacing w:before="75" w:beforeAutospacing="0" w:after="75" w:afterAutospacing="0" w:line="435" w:lineRule="atLeast"/>
        <w:rPr>
          <w:color w:val="auto"/>
          <w:highlight w:val="none"/>
        </w:rPr>
      </w:pPr>
      <w:r>
        <w:rPr>
          <w:rStyle w:val="15"/>
          <w:rFonts w:hint="eastAsia" w:ascii="宋体" w:hAnsi="宋体" w:cs="宋体"/>
          <w:color w:val="auto"/>
          <w:highlight w:val="none"/>
        </w:rPr>
        <w:t>19.询问</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19.1潜在供应商或供应商对本次采购活动的有关事项若有疑问，可向采购人或采购代理机构提出询问，采购人或采购代理机构将按照政府采购法及实施条例的有关规定进行答复。</w:t>
      </w:r>
    </w:p>
    <w:p>
      <w:pPr>
        <w:pStyle w:val="11"/>
        <w:widowControl/>
        <w:spacing w:before="75" w:beforeAutospacing="0" w:after="75" w:afterAutospacing="0" w:line="435" w:lineRule="atLeast"/>
        <w:rPr>
          <w:color w:val="auto"/>
          <w:highlight w:val="none"/>
        </w:rPr>
      </w:pPr>
      <w:r>
        <w:rPr>
          <w:rStyle w:val="15"/>
          <w:rFonts w:hint="eastAsia" w:ascii="宋体" w:hAnsi="宋体" w:cs="宋体"/>
          <w:color w:val="auto"/>
          <w:highlight w:val="none"/>
        </w:rPr>
        <w:t>20.质疑</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20.1质疑应在政府采购法及实施条例规定的时效内提出，并符合下列条件：</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20.1.1对磋商文件提出质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20.1.2质疑人应提交质疑函原件。</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20.1.3质疑函应包括下列主要内容：</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①质疑人的基本信息，至少包括：全称、地址、邮政编码、联系人及联系电话等；适合自然人参加磋商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②所质疑项目的基本信息，至少包括：项目编号、项目名称等；</w:t>
      </w:r>
    </w:p>
    <w:p>
      <w:pPr>
        <w:pStyle w:val="11"/>
        <w:widowControl/>
        <w:spacing w:before="75" w:beforeAutospacing="0" w:after="75" w:afterAutospacing="0" w:line="435" w:lineRule="atLeast"/>
        <w:rPr>
          <w:rFonts w:hint="eastAsia" w:ascii="宋体" w:hAnsi="宋体" w:cs="宋体"/>
          <w:color w:val="auto"/>
          <w:highlight w:val="none"/>
        </w:rPr>
      </w:pPr>
      <w:r>
        <w:rPr>
          <w:rFonts w:hint="eastAsia" w:ascii="宋体" w:hAnsi="宋体" w:cs="宋体"/>
          <w:color w:val="auto"/>
          <w:highlight w:val="none"/>
        </w:rPr>
        <w:t>  ③所质疑的具体事项（以下简称：“质疑事项”）；</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④质疑人自身权益受到损害的事实依据和证明材料，至少包括：</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a1所质疑的具体事项事实存在的证明材料；</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a2所质疑的具体事项事实导致质疑人自身权益受到损害的证明材料，如：采购文件、采购过程或成交结果违法违规，损害</w:t>
      </w:r>
      <w:r>
        <w:rPr>
          <w:rFonts w:hint="eastAsia" w:ascii="宋体" w:hAnsi="宋体" w:cs="宋体"/>
          <w:color w:val="auto"/>
          <w:highlight w:val="none"/>
          <w:lang w:eastAsia="zh-CN"/>
        </w:rPr>
        <w:t>自己</w:t>
      </w:r>
      <w:r>
        <w:rPr>
          <w:rFonts w:hint="eastAsia" w:ascii="宋体" w:hAnsi="宋体" w:cs="宋体"/>
          <w:color w:val="auto"/>
          <w:highlight w:val="none"/>
        </w:rPr>
        <w:t>合法权益等证明材料；</w:t>
      </w:r>
    </w:p>
    <w:p>
      <w:pPr>
        <w:pStyle w:val="11"/>
        <w:widowControl/>
        <w:spacing w:before="75" w:beforeAutospacing="0" w:after="75" w:afterAutospacing="0" w:line="435" w:lineRule="atLeast"/>
        <w:rPr>
          <w:rFonts w:hint="eastAsia" w:ascii="宋体" w:hAnsi="宋体" w:cs="宋体"/>
          <w:color w:val="auto"/>
          <w:highlight w:val="none"/>
        </w:rPr>
      </w:pPr>
      <w:r>
        <w:rPr>
          <w:rFonts w:hint="eastAsia" w:ascii="宋体" w:hAnsi="宋体" w:cs="宋体"/>
          <w:color w:val="auto"/>
          <w:highlight w:val="none"/>
        </w:rPr>
        <w:t>   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⑤针对质疑事项提出的明确请求和法律依据，</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前述明确请求指质疑人提出质疑的目的、希望采购人或采购代理机构对其质疑作出的处理结果，如：暂停采购活动、修改磋商文件、停止或纠正违法违规行为、成交结果无效、废标、重新采购等，质疑人提出质疑请求还应当对相应的法律依据进行说明。</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⑥提出质疑的日期以及质疑人代表联系方式，至少包括：姓名、手机、电子信箱、邮寄地址等。</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20.2对不符合前文第20.1条规定的质疑，采购人或采购代理机构将按照下列规定进行处理：</w:t>
      </w:r>
    </w:p>
    <w:p>
      <w:pPr>
        <w:pStyle w:val="11"/>
        <w:widowControl/>
        <w:spacing w:before="75" w:beforeAutospacing="0" w:after="75" w:afterAutospacing="0" w:line="435" w:lineRule="atLeast"/>
        <w:rPr>
          <w:rFonts w:hint="eastAsia" w:ascii="宋体" w:hAnsi="宋体" w:cs="宋体"/>
          <w:color w:val="auto"/>
          <w:highlight w:val="none"/>
        </w:rPr>
      </w:pPr>
      <w:r>
        <w:rPr>
          <w:rFonts w:hint="eastAsia" w:ascii="宋体" w:hAnsi="宋体" w:cs="宋体"/>
          <w:color w:val="auto"/>
          <w:highlight w:val="none"/>
        </w:rPr>
        <w:t>  20.2.1超过质疑时效提交的或者质疑人不是直接参与所质疑项目采购活动的供应商，书面告知质疑人其质疑不成立的原因和理由。</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20.2.2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20.2.3质疑人修改、补充质疑函超过质疑时效提交的按20.2.1款处理。供应商提交质疑函时，要认真阅读本章第20条关于质疑的相关规定，以免内容或资料不齐，需要修改补充而延误时间。</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20.3对符合前文第20.1条规定的质疑，采购人或采购代理机构将按照政府采购法及实施条例的有关规定进行答复。</w:t>
      </w:r>
    </w:p>
    <w:p>
      <w:pPr>
        <w:pStyle w:val="11"/>
        <w:widowControl/>
        <w:spacing w:before="75" w:beforeAutospacing="0" w:after="75" w:afterAutospacing="0" w:line="435" w:lineRule="atLeast"/>
        <w:rPr>
          <w:color w:val="auto"/>
          <w:highlight w:val="none"/>
        </w:rPr>
      </w:pPr>
      <w:r>
        <w:rPr>
          <w:rStyle w:val="15"/>
          <w:rFonts w:hint="eastAsia" w:ascii="宋体" w:hAnsi="宋体" w:cs="宋体"/>
          <w:color w:val="auto"/>
          <w:highlight w:val="none"/>
        </w:rPr>
        <w:t>21.投诉</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21.1若对质疑答复不满意或质疑答复未在答复期限内作出，质疑人可在答复期限届满之日起15个工作日内向磋商文件中载明的监督管理部门投诉。</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21.2投诉应有明确的请求和必要的证明材料，投诉的事项不得超出已质疑事项的范围。</w:t>
      </w:r>
    </w:p>
    <w:p>
      <w:pPr>
        <w:pStyle w:val="11"/>
        <w:widowControl/>
        <w:spacing w:before="75" w:beforeAutospacing="0" w:after="75" w:afterAutospacing="0" w:line="435" w:lineRule="atLeast"/>
        <w:jc w:val="center"/>
        <w:rPr>
          <w:color w:val="auto"/>
          <w:highlight w:val="none"/>
        </w:rPr>
      </w:pPr>
      <w:r>
        <w:rPr>
          <w:rStyle w:val="15"/>
          <w:rFonts w:hint="eastAsia" w:ascii="宋体" w:hAnsi="宋体" w:cs="宋体"/>
          <w:color w:val="auto"/>
          <w:highlight w:val="none"/>
        </w:rPr>
        <w:t>七、有关信息公告和监督部门</w:t>
      </w:r>
    </w:p>
    <w:p>
      <w:pPr>
        <w:pStyle w:val="11"/>
        <w:widowControl/>
        <w:spacing w:before="75" w:beforeAutospacing="0" w:after="75" w:afterAutospacing="0" w:line="435" w:lineRule="atLeast"/>
        <w:rPr>
          <w:color w:val="auto"/>
          <w:highlight w:val="none"/>
        </w:rPr>
      </w:pPr>
      <w:r>
        <w:rPr>
          <w:rStyle w:val="15"/>
          <w:rFonts w:hint="eastAsia" w:ascii="宋体" w:hAnsi="宋体" w:cs="宋体"/>
          <w:color w:val="auto"/>
          <w:highlight w:val="none"/>
        </w:rPr>
        <w:t>22.政府采购信息公告媒体</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22.1本项目的有关信息，包括但不限于采购公告、更正公告（若有）、磋商文件、磋商文件的澄清或修改（若有）、成交公告、终止公告（若有）、废标公告（若有）等都将在磋商文件载明的指定媒体发布。潜在供应商或供应商务必随时关注，以免遗漏。</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22.2信息公告指定媒体：详见竞争性磋商须知前附表第</w:t>
      </w:r>
      <w:r>
        <w:rPr>
          <w:rFonts w:hint="eastAsia" w:ascii="宋体" w:hAnsi="宋体" w:cs="宋体"/>
          <w:color w:val="auto"/>
          <w:highlight w:val="none"/>
          <w:u w:val="single"/>
        </w:rPr>
        <w:t>11</w:t>
      </w:r>
      <w:r>
        <w:rPr>
          <w:rFonts w:hint="eastAsia" w:ascii="宋体" w:hAnsi="宋体" w:cs="宋体"/>
          <w:color w:val="auto"/>
          <w:highlight w:val="none"/>
        </w:rPr>
        <w:t>项。</w:t>
      </w:r>
    </w:p>
    <w:p>
      <w:pPr>
        <w:pStyle w:val="11"/>
        <w:widowControl/>
        <w:spacing w:before="75" w:beforeAutospacing="0" w:after="75" w:afterAutospacing="0" w:line="435" w:lineRule="atLeast"/>
        <w:rPr>
          <w:color w:val="auto"/>
          <w:highlight w:val="none"/>
        </w:rPr>
      </w:pPr>
      <w:r>
        <w:rPr>
          <w:rStyle w:val="15"/>
          <w:rFonts w:hint="eastAsia" w:ascii="宋体" w:hAnsi="宋体" w:cs="宋体"/>
          <w:color w:val="auto"/>
          <w:highlight w:val="none"/>
        </w:rPr>
        <w:t>23.监督管理部门</w:t>
      </w:r>
    </w:p>
    <w:p>
      <w:pPr>
        <w:pStyle w:val="11"/>
        <w:widowControl/>
        <w:spacing w:before="75" w:beforeAutospacing="0" w:after="75" w:afterAutospacing="0" w:line="435" w:lineRule="atLeast"/>
        <w:rPr>
          <w:rStyle w:val="15"/>
          <w:rFonts w:ascii="宋体" w:hAnsi="宋体" w:cs="宋体"/>
          <w:color w:val="auto"/>
          <w:sz w:val="24"/>
          <w:szCs w:val="24"/>
          <w:highlight w:val="none"/>
        </w:rPr>
      </w:pPr>
      <w:r>
        <w:rPr>
          <w:rFonts w:hint="eastAsia" w:ascii="宋体" w:hAnsi="宋体" w:cs="宋体"/>
          <w:color w:val="auto"/>
          <w:highlight w:val="none"/>
        </w:rPr>
        <w:t>  23.1磋商采购活动的监督管理部门详见竞争性磋商须知前附表第</w:t>
      </w:r>
      <w:r>
        <w:rPr>
          <w:rFonts w:hint="eastAsia" w:ascii="宋体" w:hAnsi="宋体" w:cs="宋体"/>
          <w:color w:val="auto"/>
          <w:highlight w:val="none"/>
          <w:u w:val="single"/>
        </w:rPr>
        <w:t>12</w:t>
      </w:r>
      <w:r>
        <w:rPr>
          <w:rFonts w:hint="eastAsia" w:ascii="宋体" w:hAnsi="宋体" w:cs="宋体"/>
          <w:color w:val="auto"/>
          <w:highlight w:val="none"/>
        </w:rPr>
        <w:t>项。</w:t>
      </w:r>
    </w:p>
    <w:p>
      <w:pPr>
        <w:pStyle w:val="11"/>
        <w:widowControl/>
        <w:spacing w:before="75" w:beforeAutospacing="0" w:after="75" w:afterAutospacing="0" w:line="435" w:lineRule="atLeast"/>
        <w:rPr>
          <w:color w:val="auto"/>
          <w:highlight w:val="none"/>
        </w:rPr>
      </w:pPr>
      <w:r>
        <w:rPr>
          <w:rStyle w:val="15"/>
          <w:rFonts w:hint="eastAsia" w:ascii="宋体" w:hAnsi="宋体" w:cs="宋体"/>
          <w:color w:val="auto"/>
          <w:highlight w:val="none"/>
        </w:rPr>
        <w:t>2</w:t>
      </w:r>
      <w:r>
        <w:rPr>
          <w:rStyle w:val="15"/>
          <w:rFonts w:hint="eastAsia" w:ascii="宋体" w:hAnsi="宋体" w:cs="宋体"/>
          <w:color w:val="auto"/>
          <w:highlight w:val="none"/>
          <w:lang w:val="en-US" w:eastAsia="zh-CN"/>
        </w:rPr>
        <w:t>4</w:t>
      </w:r>
      <w:r>
        <w:rPr>
          <w:rStyle w:val="15"/>
          <w:rFonts w:hint="eastAsia" w:ascii="宋体" w:hAnsi="宋体" w:cs="宋体"/>
          <w:color w:val="auto"/>
          <w:highlight w:val="none"/>
        </w:rPr>
        <w:t>.履约保证金</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2</w:t>
      </w:r>
      <w:r>
        <w:rPr>
          <w:rFonts w:hint="eastAsia" w:ascii="宋体" w:hAnsi="宋体" w:cs="宋体"/>
          <w:color w:val="auto"/>
          <w:highlight w:val="none"/>
          <w:lang w:val="en-US" w:eastAsia="zh-CN"/>
        </w:rPr>
        <w:t>4</w:t>
      </w:r>
      <w:r>
        <w:rPr>
          <w:rFonts w:hint="eastAsia" w:ascii="宋体" w:hAnsi="宋体" w:cs="宋体"/>
          <w:color w:val="auto"/>
          <w:highlight w:val="none"/>
        </w:rPr>
        <w:t>.1采购人可以根据项目特点和需要，确定是否要求成交人在合同签订前，按照磋商文件规定的时间、形式、金额提交履约保证金，履约保证金的数额不超过中标合同金额的10%，具体详见磋商须知前附表第</w:t>
      </w:r>
      <w:r>
        <w:rPr>
          <w:rFonts w:hint="eastAsia" w:ascii="宋体" w:hAnsi="宋体" w:cs="宋体"/>
          <w:color w:val="auto"/>
          <w:highlight w:val="none"/>
          <w:u w:val="single"/>
        </w:rPr>
        <w:t>12</w:t>
      </w:r>
      <w:r>
        <w:rPr>
          <w:rFonts w:hint="eastAsia" w:ascii="宋体" w:hAnsi="宋体" w:cs="宋体"/>
          <w:color w:val="auto"/>
          <w:highlight w:val="none"/>
        </w:rPr>
        <w:t>项规定。</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2</w:t>
      </w:r>
      <w:r>
        <w:rPr>
          <w:rFonts w:hint="eastAsia" w:ascii="宋体" w:hAnsi="宋体" w:cs="宋体"/>
          <w:color w:val="auto"/>
          <w:highlight w:val="none"/>
          <w:lang w:val="en-US" w:eastAsia="zh-CN"/>
        </w:rPr>
        <w:t>4</w:t>
      </w:r>
      <w:r>
        <w:rPr>
          <w:rFonts w:hint="eastAsia" w:ascii="宋体" w:hAnsi="宋体" w:cs="宋体"/>
          <w:color w:val="auto"/>
          <w:highlight w:val="none"/>
        </w:rPr>
        <w:t>.2磋商文件要求在合同签订前提交履约保证金，如果成交人无故拖延或者拒不提交履约保证金的，则视为成交人拒绝与采购人签订合同，该成交人将承担违法行为的法律责任。</w:t>
      </w:r>
    </w:p>
    <w:p>
      <w:pPr>
        <w:pStyle w:val="11"/>
        <w:widowControl/>
        <w:spacing w:before="75" w:beforeAutospacing="0" w:after="75" w:afterAutospacing="0" w:line="435" w:lineRule="atLeast"/>
        <w:rPr>
          <w:color w:val="auto"/>
          <w:highlight w:val="none"/>
        </w:rPr>
      </w:pPr>
      <w:r>
        <w:rPr>
          <w:rStyle w:val="15"/>
          <w:rFonts w:hint="eastAsia" w:ascii="宋体" w:hAnsi="宋体" w:cs="宋体"/>
          <w:color w:val="auto"/>
          <w:highlight w:val="none"/>
        </w:rPr>
        <w:t>2</w:t>
      </w:r>
      <w:r>
        <w:rPr>
          <w:rStyle w:val="15"/>
          <w:rFonts w:hint="eastAsia" w:ascii="宋体" w:hAnsi="宋体" w:cs="宋体"/>
          <w:color w:val="auto"/>
          <w:highlight w:val="none"/>
          <w:lang w:val="en-US" w:eastAsia="zh-CN"/>
        </w:rPr>
        <w:t>5</w:t>
      </w:r>
      <w:r>
        <w:rPr>
          <w:rStyle w:val="15"/>
          <w:rFonts w:hint="eastAsia" w:ascii="宋体" w:hAnsi="宋体" w:cs="宋体"/>
          <w:color w:val="auto"/>
          <w:highlight w:val="none"/>
        </w:rPr>
        <w:t>.其他新增内容：</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根据采购项目特点或政策需要补充的其他新增内容详见竞争性磋商须知前附表第</w:t>
      </w:r>
      <w:r>
        <w:rPr>
          <w:rFonts w:hint="eastAsia" w:ascii="宋体" w:hAnsi="宋体" w:cs="宋体"/>
          <w:color w:val="auto"/>
          <w:highlight w:val="none"/>
          <w:u w:val="single"/>
        </w:rPr>
        <w:t>12</w:t>
      </w:r>
      <w:r>
        <w:rPr>
          <w:rFonts w:hint="eastAsia" w:ascii="宋体" w:hAnsi="宋体" w:cs="宋体"/>
          <w:color w:val="auto"/>
          <w:highlight w:val="none"/>
        </w:rPr>
        <w:t>项。</w:t>
      </w:r>
    </w:p>
    <w:p>
      <w:pPr>
        <w:pStyle w:val="2"/>
        <w:jc w:val="both"/>
        <w:rPr>
          <w:color w:val="auto"/>
          <w:highlight w:val="none"/>
        </w:rPr>
      </w:pPr>
      <w:bookmarkStart w:id="4" w:name="_Toc31998"/>
      <w:bookmarkStart w:id="5" w:name="_Toc13476"/>
    </w:p>
    <w:p>
      <w:pPr>
        <w:pStyle w:val="2"/>
        <w:jc w:val="both"/>
        <w:rPr>
          <w:color w:val="auto"/>
          <w:highlight w:val="none"/>
        </w:rPr>
      </w:pPr>
    </w:p>
    <w:p>
      <w:pPr>
        <w:pStyle w:val="2"/>
        <w:jc w:val="both"/>
        <w:rPr>
          <w:color w:val="auto"/>
          <w:highlight w:val="none"/>
        </w:rPr>
      </w:pPr>
    </w:p>
    <w:p>
      <w:pPr>
        <w:pStyle w:val="2"/>
        <w:jc w:val="both"/>
        <w:rPr>
          <w:color w:val="auto"/>
          <w:highlight w:val="none"/>
        </w:rPr>
      </w:pPr>
    </w:p>
    <w:p>
      <w:pPr>
        <w:pStyle w:val="2"/>
        <w:jc w:val="center"/>
        <w:rPr>
          <w:color w:val="auto"/>
          <w:highlight w:val="none"/>
        </w:rPr>
      </w:pPr>
      <w:r>
        <w:rPr>
          <w:color w:val="auto"/>
          <w:highlight w:val="none"/>
        </w:rPr>
        <w:br w:type="page"/>
      </w:r>
      <w:r>
        <w:rPr>
          <w:color w:val="auto"/>
          <w:highlight w:val="none"/>
        </w:rPr>
        <w:t>第三章  采购内容及要求</w:t>
      </w:r>
      <w:bookmarkEnd w:id="4"/>
      <w:bookmarkEnd w:id="5"/>
    </w:p>
    <w:p>
      <w:pPr>
        <w:pStyle w:val="11"/>
        <w:widowControl/>
        <w:spacing w:before="0" w:beforeAutospacing="0" w:after="0" w:afterAutospacing="0" w:line="440" w:lineRule="exact"/>
        <w:rPr>
          <w:b/>
          <w:bCs/>
        </w:rPr>
      </w:pPr>
      <w:r>
        <w:rPr>
          <w:rFonts w:ascii="sans-serif" w:hAnsi="sans-serif" w:eastAsia="sans-serif" w:cs="sans-serif"/>
          <w:b/>
          <w:bCs/>
        </w:rPr>
        <w:t>一、（根据本项目实际情况，填写</w:t>
      </w:r>
      <w:r>
        <w:rPr>
          <w:b/>
          <w:bCs/>
        </w:rPr>
        <w:t>“采购标的”或“项目概况”）</w:t>
      </w:r>
    </w:p>
    <w:p>
      <w:pPr>
        <w:pStyle w:val="11"/>
        <w:widowControl/>
        <w:spacing w:before="75" w:beforeAutospacing="0" w:after="75" w:afterAutospacing="0" w:line="400" w:lineRule="exact"/>
        <w:ind w:firstLine="480" w:firstLineChars="200"/>
        <w:jc w:val="both"/>
        <w:rPr>
          <w:rFonts w:hint="eastAsia" w:ascii="宋体" w:hAnsi="宋体" w:cs="宋体"/>
          <w:color w:val="000000"/>
          <w:shd w:val="clear" w:color="auto" w:fill="FFFFFF"/>
        </w:rPr>
      </w:pPr>
      <w:r>
        <w:rPr>
          <w:rFonts w:hint="eastAsia" w:ascii="宋体" w:hAnsi="宋体" w:cs="宋体"/>
          <w:color w:val="000000"/>
          <w:shd w:val="clear" w:color="auto" w:fill="FFFFFF"/>
        </w:rPr>
        <w:t>1.本项目为</w:t>
      </w:r>
      <w:r>
        <w:rPr>
          <w:rFonts w:hint="eastAsia" w:ascii="宋体" w:hAnsi="宋体" w:cs="宋体"/>
          <w:color w:val="000000"/>
          <w:shd w:val="clear" w:color="auto" w:fill="FFFFFF"/>
          <w:lang w:eastAsia="zh-CN"/>
        </w:rPr>
        <w:t>华大街道北江社区便民服务场所装修项目</w:t>
      </w:r>
      <w:r>
        <w:rPr>
          <w:rFonts w:hint="eastAsia" w:ascii="宋体" w:hAnsi="宋体" w:cs="宋体"/>
          <w:color w:val="000000"/>
          <w:shd w:val="clear" w:color="auto" w:fill="FFFFFF"/>
        </w:rPr>
        <w:t>。</w:t>
      </w:r>
    </w:p>
    <w:p>
      <w:pPr>
        <w:pStyle w:val="11"/>
        <w:widowControl/>
        <w:spacing w:before="75" w:beforeAutospacing="0" w:after="75" w:afterAutospacing="0" w:line="400" w:lineRule="exact"/>
        <w:ind w:firstLine="480" w:firstLineChars="200"/>
        <w:jc w:val="both"/>
        <w:rPr>
          <w:rFonts w:hint="eastAsia" w:ascii="宋体" w:hAnsi="宋体" w:cs="宋体"/>
          <w:color w:val="000000"/>
          <w:shd w:val="clear" w:color="auto" w:fill="FFFFFF"/>
        </w:rPr>
      </w:pPr>
      <w:r>
        <w:rPr>
          <w:rFonts w:hint="eastAsia" w:ascii="宋体" w:hAnsi="宋体" w:cs="宋体"/>
          <w:color w:val="000000"/>
          <w:shd w:val="clear" w:color="auto" w:fill="FFFFFF"/>
        </w:rPr>
        <w:t>2.招标范围：</w:t>
      </w:r>
      <w:r>
        <w:rPr>
          <w:rFonts w:hint="eastAsia" w:ascii="宋体" w:hAnsi="宋体" w:cs="宋体"/>
          <w:color w:val="000000"/>
          <w:shd w:val="clear" w:color="auto" w:fill="FFFFFF"/>
          <w:lang w:eastAsia="zh-CN"/>
        </w:rPr>
        <w:t>华大街道北江社区便民服务场所装修项目</w:t>
      </w:r>
      <w:r>
        <w:rPr>
          <w:rFonts w:hint="eastAsia" w:ascii="宋体" w:hAnsi="宋体" w:cs="宋体"/>
          <w:color w:val="000000"/>
          <w:shd w:val="clear" w:color="auto" w:fill="FFFFFF"/>
        </w:rPr>
        <w:t>施工，具体以工程量清单为准，以施工图纸和施工技术要求为依据</w:t>
      </w:r>
      <w:r>
        <w:rPr>
          <w:rFonts w:ascii="宋体" w:hAnsi="宋体" w:cs="宋体"/>
        </w:rPr>
        <w:t>。</w:t>
      </w:r>
    </w:p>
    <w:p>
      <w:pPr>
        <w:pStyle w:val="11"/>
        <w:widowControl/>
        <w:spacing w:before="0" w:beforeAutospacing="0" w:after="0" w:afterAutospacing="0" w:line="440" w:lineRule="exact"/>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3、本磋商文件附件</w:t>
      </w:r>
    </w:p>
    <w:p>
      <w:pPr>
        <w:pStyle w:val="11"/>
        <w:widowControl/>
        <w:spacing w:before="0" w:beforeAutospacing="0" w:after="0" w:afterAutospacing="0" w:line="440" w:lineRule="exact"/>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3.1 本项目提供以下附件，作为磋商文件的组成部分：</w:t>
      </w:r>
    </w:p>
    <w:p>
      <w:pPr>
        <w:pStyle w:val="11"/>
        <w:widowControl/>
        <w:spacing w:before="0" w:beforeAutospacing="0" w:after="0" w:afterAutospacing="0" w:line="440" w:lineRule="exact"/>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附件1：工程量清单。（详见附件）</w:t>
      </w:r>
    </w:p>
    <w:p>
      <w:pPr>
        <w:pStyle w:val="11"/>
        <w:widowControl/>
        <w:spacing w:before="0" w:beforeAutospacing="0" w:after="0" w:afterAutospacing="0" w:line="440" w:lineRule="exact"/>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附件2：施工图纸。（详见附件）</w:t>
      </w:r>
    </w:p>
    <w:p>
      <w:pPr>
        <w:pStyle w:val="11"/>
        <w:widowControl/>
        <w:spacing w:before="0" w:beforeAutospacing="0" w:after="0" w:afterAutospacing="0" w:line="440" w:lineRule="exact"/>
        <w:ind w:firstLine="480" w:firstLineChars="200"/>
        <w:rPr>
          <w:rFonts w:hint="eastAsia" w:ascii="宋体" w:hAnsi="宋体" w:cs="宋体"/>
          <w:color w:val="000000"/>
          <w:shd w:val="clear" w:color="auto" w:fill="FFFFFF"/>
        </w:rPr>
      </w:pPr>
      <w:r>
        <w:rPr>
          <w:rFonts w:hint="eastAsia" w:ascii="宋体" w:hAnsi="宋体" w:cs="宋体"/>
          <w:color w:val="000000"/>
          <w:shd w:val="clear" w:color="auto" w:fill="FFFFFF"/>
        </w:rPr>
        <w:t>4、本项目保修期为验收合格之日起1年。</w:t>
      </w:r>
    </w:p>
    <w:p>
      <w:pPr>
        <w:pStyle w:val="11"/>
        <w:widowControl/>
        <w:spacing w:before="0" w:beforeAutospacing="0" w:after="0" w:afterAutospacing="0" w:line="440" w:lineRule="exact"/>
        <w:ind w:firstLine="480" w:firstLineChars="200"/>
        <w:rPr>
          <w:rFonts w:hint="eastAsia" w:ascii="宋体" w:hAnsi="宋体" w:eastAsia="宋体" w:cs="宋体"/>
          <w:color w:val="000000"/>
          <w:shd w:val="clear" w:color="auto" w:fill="FFFFFF"/>
          <w:lang w:val="en-US" w:eastAsia="zh-CN"/>
        </w:rPr>
      </w:pPr>
      <w:r>
        <w:rPr>
          <w:rFonts w:hint="eastAsia" w:ascii="宋体" w:hAnsi="宋体" w:cs="宋体"/>
          <w:color w:val="000000"/>
          <w:shd w:val="clear" w:color="auto" w:fill="FFFFFF"/>
        </w:rPr>
        <w:t>5、</w:t>
      </w:r>
      <w:r>
        <w:rPr>
          <w:rFonts w:hint="eastAsia" w:ascii="宋体" w:hAnsi="宋体" w:cs="宋体"/>
          <w:color w:val="000000"/>
          <w:shd w:val="clear" w:color="auto" w:fill="FFFFFF"/>
          <w:lang w:val="en-US" w:eastAsia="zh-CN"/>
        </w:rPr>
        <w:t>供应商在计算报价时应根据工程技术复杂程度、施工难易程度、施工自然条件及工期长短充分考虑。供应商可在自行现场勘查的基础上，制定适合本项目的实施方案，并根据实施方案计算报价。</w:t>
      </w:r>
    </w:p>
    <w:p>
      <w:pPr>
        <w:pStyle w:val="11"/>
        <w:widowControl/>
        <w:spacing w:before="0" w:beforeAutospacing="0" w:after="0" w:afterAutospacing="0" w:line="440" w:lineRule="exact"/>
        <w:rPr>
          <w:b/>
          <w:bCs/>
        </w:rPr>
      </w:pPr>
      <w:r>
        <w:rPr>
          <w:b/>
          <w:bCs/>
        </w:rPr>
        <w:t>二、技术要求</w:t>
      </w:r>
    </w:p>
    <w:p>
      <w:pPr>
        <w:widowControl/>
        <w:spacing w:line="440" w:lineRule="exact"/>
        <w:jc w:val="left"/>
        <w:rPr>
          <w:rFonts w:hint="eastAsia" w:ascii="宋体" w:hAnsi="宋体" w:cs="宋体"/>
          <w:b/>
          <w:bCs/>
          <w:kern w:val="0"/>
          <w:sz w:val="24"/>
        </w:rPr>
      </w:pPr>
      <w:r>
        <w:rPr>
          <w:rFonts w:hint="eastAsia" w:ascii="宋体" w:hAnsi="宋体" w:cs="宋体"/>
          <w:b/>
          <w:bCs/>
          <w:kern w:val="0"/>
          <w:sz w:val="24"/>
          <w:lang w:bidi="ar"/>
        </w:rPr>
        <w:t>★（1）报价要求</w:t>
      </w:r>
    </w:p>
    <w:p>
      <w:pPr>
        <w:widowControl/>
        <w:spacing w:line="440" w:lineRule="exact"/>
        <w:ind w:firstLine="480" w:firstLineChars="200"/>
        <w:jc w:val="left"/>
        <w:rPr>
          <w:rFonts w:hint="eastAsia" w:ascii="宋体" w:hAnsi="宋体" w:cs="宋体"/>
          <w:kern w:val="0"/>
          <w:sz w:val="24"/>
        </w:rPr>
      </w:pPr>
      <w:r>
        <w:rPr>
          <w:rFonts w:hint="eastAsia" w:ascii="宋体" w:hAnsi="宋体" w:cs="宋体"/>
          <w:kern w:val="0"/>
          <w:sz w:val="24"/>
          <w:lang w:bidi="ar"/>
        </w:rPr>
        <w:t>1、合同价格形式：固定总价合同，供应商应充分考虑施工期间各种建材的市场风险和国家政策性调整风险系数，并计入单价。不可竞争费用应严格执行有关费用标准，不得降低标准进行报价。</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ascii="宋体" w:hAnsi="宋体" w:eastAsia="宋体" w:cs="宋体"/>
          <w:kern w:val="0"/>
          <w:sz w:val="24"/>
          <w:szCs w:val="24"/>
        </w:rPr>
      </w:pPr>
      <w:r>
        <w:rPr>
          <w:rFonts w:hint="eastAsia" w:ascii="宋体" w:hAnsi="宋体" w:cs="宋体"/>
          <w:kern w:val="0"/>
          <w:sz w:val="24"/>
          <w:lang w:bidi="ar"/>
        </w:rPr>
        <w:t>2、</w:t>
      </w:r>
      <w:r>
        <w:rPr>
          <w:rFonts w:hint="eastAsia" w:ascii="宋体" w:hAnsi="宋体" w:eastAsia="宋体" w:cs="宋体"/>
          <w:kern w:val="0"/>
          <w:sz w:val="24"/>
          <w:szCs w:val="24"/>
        </w:rPr>
        <w:t>供应商应仔细阅读本项目竞争性磋商文件、工程量清单、图纸，了解拟响应的全部工程内容。供应商的报价</w:t>
      </w:r>
      <w:r>
        <w:rPr>
          <w:rFonts w:hint="eastAsia" w:ascii="宋体" w:hAnsi="宋体" w:cs="宋体"/>
          <w:kern w:val="0"/>
          <w:sz w:val="24"/>
          <w:szCs w:val="24"/>
          <w:lang w:eastAsia="zh-CN"/>
        </w:rPr>
        <w:t>（</w:t>
      </w:r>
      <w:r>
        <w:rPr>
          <w:rFonts w:hint="eastAsia" w:ascii="宋体" w:hAnsi="宋体" w:cs="宋体"/>
          <w:kern w:val="0"/>
          <w:sz w:val="24"/>
          <w:szCs w:val="24"/>
          <w:lang w:val="en-US" w:eastAsia="zh-CN"/>
        </w:rPr>
        <w:t>含验收等相关费用</w:t>
      </w:r>
      <w:r>
        <w:rPr>
          <w:rFonts w:hint="eastAsia" w:ascii="宋体" w:hAnsi="宋体" w:cs="宋体"/>
          <w:kern w:val="0"/>
          <w:sz w:val="24"/>
          <w:szCs w:val="24"/>
          <w:lang w:eastAsia="zh-CN"/>
        </w:rPr>
        <w:t>）</w:t>
      </w:r>
      <w:r>
        <w:rPr>
          <w:rFonts w:hint="eastAsia" w:ascii="宋体" w:hAnsi="宋体" w:eastAsia="宋体" w:cs="宋体"/>
          <w:kern w:val="0"/>
          <w:sz w:val="24"/>
          <w:szCs w:val="24"/>
        </w:rPr>
        <w:t>应是上述文件所确定的采购范围内的全部工程内容的价格体现。不得仅对本项目中的部分工程或服务进行报价响应，否则其响应将被拒绝。</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ascii="宋体" w:hAnsi="宋体" w:eastAsia="宋体" w:cs="宋体"/>
          <w:kern w:val="0"/>
          <w:sz w:val="24"/>
          <w:szCs w:val="24"/>
          <w:highlight w:val="none"/>
        </w:rPr>
      </w:pPr>
      <w:r>
        <w:rPr>
          <w:rFonts w:hint="eastAsia" w:ascii="宋体" w:hAnsi="宋体" w:cs="宋体"/>
          <w:kern w:val="0"/>
          <w:sz w:val="24"/>
          <w:szCs w:val="24"/>
          <w:highlight w:val="none"/>
          <w:lang w:val="en-US" w:eastAsia="zh-CN"/>
        </w:rPr>
        <w:t>3</w:t>
      </w:r>
      <w:r>
        <w:rPr>
          <w:rFonts w:hint="eastAsia" w:ascii="宋体" w:hAnsi="宋体" w:eastAsia="宋体" w:cs="宋体"/>
          <w:kern w:val="0"/>
          <w:sz w:val="24"/>
          <w:szCs w:val="24"/>
          <w:highlight w:val="none"/>
        </w:rPr>
        <w:t>、</w:t>
      </w:r>
      <w:r>
        <w:rPr>
          <w:rFonts w:hint="eastAsia" w:ascii="宋体" w:hAnsi="宋体" w:eastAsia="宋体" w:cs="宋体"/>
          <w:b/>
          <w:bCs/>
          <w:kern w:val="0"/>
          <w:sz w:val="24"/>
          <w:szCs w:val="24"/>
          <w:highlight w:val="none"/>
        </w:rPr>
        <w:t>供应商须在响应文件中对工程量清单作出逐项、完整的报价且不得修改工程量清单内容。未对工程量清单作出报价或修改工程量清单的均视为无效报价。</w:t>
      </w:r>
    </w:p>
    <w:p>
      <w:pPr>
        <w:widowControl/>
        <w:spacing w:line="440" w:lineRule="exact"/>
        <w:ind w:firstLine="480" w:firstLineChars="200"/>
        <w:jc w:val="left"/>
        <w:rPr>
          <w:rFonts w:hint="eastAsia" w:ascii="宋体" w:hAnsi="宋体" w:cs="宋体"/>
          <w:kern w:val="0"/>
          <w:sz w:val="24"/>
        </w:rPr>
      </w:pPr>
      <w:r>
        <w:rPr>
          <w:rFonts w:hint="eastAsia" w:ascii="宋体" w:hAnsi="宋体" w:cs="宋体"/>
          <w:kern w:val="0"/>
          <w:sz w:val="24"/>
          <w:szCs w:val="24"/>
          <w:lang w:val="en-US" w:eastAsia="zh-CN"/>
        </w:rPr>
        <w:t>4</w:t>
      </w:r>
      <w:r>
        <w:rPr>
          <w:rFonts w:hint="eastAsia" w:ascii="宋体" w:hAnsi="宋体" w:eastAsia="宋体" w:cs="宋体"/>
          <w:kern w:val="0"/>
          <w:sz w:val="24"/>
          <w:szCs w:val="24"/>
        </w:rPr>
        <w:t>、供应商成交后，在其首次响应文件中的分项报价书的基础上，参照其最后报价与首次报价（总价）的下浮比例，调整其最终成交的各项目的综合单价。在合同签订时，根据其最后报价调整的工程报价书将作为合同的组成部分。</w:t>
      </w:r>
    </w:p>
    <w:p>
      <w:pPr>
        <w:widowControl/>
        <w:spacing w:line="440" w:lineRule="exact"/>
        <w:jc w:val="left"/>
        <w:rPr>
          <w:rFonts w:hint="eastAsia" w:ascii="微软雅黑" w:hAnsi="微软雅黑" w:eastAsia="微软雅黑" w:cs="微软雅黑"/>
          <w:kern w:val="0"/>
          <w:sz w:val="27"/>
          <w:szCs w:val="27"/>
        </w:rPr>
      </w:pPr>
      <w:r>
        <w:rPr>
          <w:rFonts w:hint="eastAsia" w:ascii="宋体" w:hAnsi="宋体" w:cs="宋体"/>
          <w:b/>
          <w:kern w:val="0"/>
          <w:sz w:val="24"/>
          <w:shd w:val="clear" w:color="auto" w:fill="FFFFFF"/>
          <w:lang w:bidi="ar"/>
        </w:rPr>
        <w:t>（2）项目基本要求</w:t>
      </w:r>
    </w:p>
    <w:p>
      <w:pPr>
        <w:widowControl/>
        <w:spacing w:line="440" w:lineRule="exact"/>
        <w:ind w:firstLine="481" w:firstLineChars="200"/>
        <w:jc w:val="left"/>
        <w:rPr>
          <w:rFonts w:hint="eastAsia" w:ascii="微软雅黑" w:hAnsi="微软雅黑" w:eastAsia="微软雅黑" w:cs="微软雅黑"/>
          <w:kern w:val="0"/>
          <w:sz w:val="27"/>
          <w:szCs w:val="27"/>
        </w:rPr>
      </w:pPr>
      <w:r>
        <w:rPr>
          <w:rFonts w:hint="eastAsia" w:ascii="宋体" w:hAnsi="宋体" w:cs="宋体"/>
          <w:b/>
          <w:bCs/>
          <w:kern w:val="0"/>
          <w:sz w:val="24"/>
          <w:lang w:bidi="ar"/>
        </w:rPr>
        <w:t>★</w:t>
      </w:r>
      <w:r>
        <w:rPr>
          <w:rFonts w:hint="eastAsia" w:ascii="宋体" w:hAnsi="宋体" w:cs="宋体"/>
          <w:kern w:val="0"/>
          <w:sz w:val="24"/>
          <w:shd w:val="clear" w:color="auto" w:fill="FFFFFF"/>
          <w:lang w:bidi="ar"/>
        </w:rPr>
        <w:t>1、工程建设标准强制性条文：依据磋商文件要求，本项目的材料、设备、施工必须达到现行的国家、行业和地方的工程建设标准强制性条文。</w:t>
      </w:r>
    </w:p>
    <w:p>
      <w:pPr>
        <w:widowControl/>
        <w:spacing w:line="440" w:lineRule="exact"/>
        <w:ind w:firstLine="480" w:firstLineChars="200"/>
        <w:jc w:val="left"/>
        <w:rPr>
          <w:rFonts w:hint="eastAsia" w:ascii="宋体" w:hAnsi="宋体" w:cs="宋体"/>
          <w:b/>
          <w:bCs/>
          <w:kern w:val="0"/>
          <w:sz w:val="24"/>
          <w:shd w:val="clear" w:color="auto" w:fill="FFFFFF"/>
          <w:lang w:bidi="ar"/>
        </w:rPr>
      </w:pPr>
      <w:r>
        <w:rPr>
          <w:rFonts w:hint="eastAsia" w:ascii="宋体" w:hAnsi="宋体" w:cs="宋体"/>
          <w:kern w:val="0"/>
          <w:sz w:val="24"/>
          <w:shd w:val="clear" w:color="auto" w:fill="FFFFFF"/>
          <w:lang w:bidi="ar"/>
        </w:rPr>
        <w:t>2、本项目磋商文件应与工程量清单、施工图纸等一起阅读和理解。工程具体参数应视为保证涉及运行所需的最低要求，如有遗漏，供应商应予以补充，并免费提供。供应商须完全满足磋商文件附件工程量清单和施工图纸及相关材料所有要求，不得减项、不得负偏离，否则按无效响应处理。工程量清单、施工图纸详见磋商文件附件。</w:t>
      </w:r>
      <w:r>
        <w:rPr>
          <w:rFonts w:hint="eastAsia" w:ascii="宋体" w:hAnsi="宋体" w:cs="宋体"/>
          <w:b/>
          <w:bCs/>
          <w:kern w:val="0"/>
          <w:sz w:val="24"/>
          <w:shd w:val="clear" w:color="auto" w:fill="FFFFFF"/>
          <w:lang w:bidi="ar"/>
        </w:rPr>
        <w:t>(项号1)</w:t>
      </w:r>
    </w:p>
    <w:p>
      <w:pPr>
        <w:widowControl/>
        <w:spacing w:line="440" w:lineRule="exact"/>
        <w:jc w:val="left"/>
        <w:rPr>
          <w:rFonts w:hint="eastAsia" w:ascii="微软雅黑" w:hAnsi="微软雅黑" w:eastAsia="微软雅黑" w:cs="微软雅黑"/>
          <w:kern w:val="0"/>
          <w:sz w:val="27"/>
          <w:szCs w:val="27"/>
        </w:rPr>
      </w:pPr>
      <w:r>
        <w:rPr>
          <w:rFonts w:hint="eastAsia" w:ascii="宋体" w:hAnsi="宋体" w:cs="宋体"/>
          <w:b/>
          <w:kern w:val="0"/>
          <w:sz w:val="24"/>
          <w:lang w:bidi="ar"/>
        </w:rPr>
        <w:t>（3）工程质量</w:t>
      </w:r>
    </w:p>
    <w:p>
      <w:pPr>
        <w:widowControl/>
        <w:spacing w:line="440" w:lineRule="exact"/>
        <w:ind w:firstLine="481" w:firstLineChars="200"/>
        <w:jc w:val="left"/>
        <w:rPr>
          <w:rFonts w:hint="eastAsia" w:ascii="微软雅黑" w:hAnsi="微软雅黑" w:eastAsia="微软雅黑" w:cs="微软雅黑"/>
          <w:kern w:val="0"/>
          <w:sz w:val="27"/>
          <w:szCs w:val="27"/>
        </w:rPr>
      </w:pPr>
      <w:r>
        <w:rPr>
          <w:rFonts w:hint="eastAsia" w:ascii="宋体" w:hAnsi="宋体" w:cs="宋体"/>
          <w:b/>
          <w:bCs/>
          <w:kern w:val="0"/>
          <w:sz w:val="24"/>
          <w:lang w:bidi="ar"/>
        </w:rPr>
        <w:t>★</w:t>
      </w:r>
      <w:r>
        <w:rPr>
          <w:rFonts w:hint="eastAsia" w:ascii="宋体" w:hAnsi="宋体" w:cs="宋体"/>
          <w:kern w:val="0"/>
          <w:sz w:val="24"/>
          <w:lang w:bidi="ar"/>
        </w:rPr>
        <w:t>1、本工程必须根据建设部《工程施工质量验收规范》等相关规范和规程及施工图纸施工，工程质量标准必须达到国家现行的验评标准中规定的合格等级。</w:t>
      </w:r>
    </w:p>
    <w:p>
      <w:pPr>
        <w:widowControl/>
        <w:spacing w:line="440" w:lineRule="exact"/>
        <w:ind w:firstLine="480" w:firstLineChars="200"/>
        <w:jc w:val="left"/>
        <w:rPr>
          <w:rFonts w:hint="eastAsia" w:ascii="微软雅黑" w:hAnsi="微软雅黑" w:eastAsia="微软雅黑" w:cs="微软雅黑"/>
          <w:kern w:val="0"/>
          <w:sz w:val="27"/>
          <w:szCs w:val="27"/>
        </w:rPr>
      </w:pPr>
      <w:r>
        <w:rPr>
          <w:rFonts w:hint="eastAsia" w:ascii="宋体" w:hAnsi="宋体" w:cs="宋体"/>
          <w:kern w:val="0"/>
          <w:sz w:val="24"/>
          <w:lang w:bidi="ar"/>
        </w:rPr>
        <w:t>2、因施工方原因工程质量达不到规定的质量等级，施工方必须按合同约定承担违约金并承担建设单位由此产生的其他损失，并在采购人或监理方要求的时间内无条件返修，质量验收合格后方交付使用。</w:t>
      </w:r>
      <w:r>
        <w:rPr>
          <w:rFonts w:hint="eastAsia" w:ascii="宋体" w:hAnsi="宋体" w:cs="宋体"/>
          <w:b/>
          <w:bCs/>
          <w:kern w:val="0"/>
          <w:sz w:val="24"/>
          <w:shd w:val="clear" w:color="auto" w:fill="FFFFFF"/>
          <w:lang w:bidi="ar"/>
        </w:rPr>
        <w:t>(项号2)</w:t>
      </w:r>
    </w:p>
    <w:p>
      <w:pPr>
        <w:widowControl/>
        <w:spacing w:line="440" w:lineRule="exact"/>
        <w:ind w:firstLine="480" w:firstLineChars="200"/>
        <w:jc w:val="left"/>
        <w:rPr>
          <w:rFonts w:hint="eastAsia" w:ascii="微软雅黑" w:hAnsi="微软雅黑" w:eastAsia="微软雅黑" w:cs="微软雅黑"/>
          <w:kern w:val="0"/>
          <w:sz w:val="27"/>
          <w:szCs w:val="27"/>
        </w:rPr>
      </w:pPr>
      <w:r>
        <w:rPr>
          <w:rFonts w:hint="eastAsia" w:ascii="宋体" w:hAnsi="宋体" w:cs="宋体"/>
          <w:kern w:val="0"/>
          <w:sz w:val="24"/>
          <w:shd w:val="clear" w:color="auto" w:fill="FFFFFF"/>
          <w:lang w:bidi="ar"/>
        </w:rPr>
        <w:t>3、成交人应按安全施工有关规定，采取严格、科学的安全防护措施，确保施工安全和第三者的安全；成交人承担由于自身安全措施不力造成事故的责任和发生的费用。在施工过程中造成他人人身伤害、财产损失的，责任全部由成交人承担，施工安全的一切问题均由成交人负责并承担费用。成交人在施工过程中，如与当地周边相关单位、群众发生纠纷，自行负责解决并承担全部责任和费用。</w:t>
      </w:r>
      <w:r>
        <w:rPr>
          <w:rFonts w:hint="eastAsia" w:ascii="宋体" w:hAnsi="宋体" w:cs="宋体"/>
          <w:b/>
          <w:bCs/>
          <w:kern w:val="0"/>
          <w:sz w:val="24"/>
          <w:shd w:val="clear" w:color="auto" w:fill="FFFFFF"/>
          <w:lang w:bidi="ar"/>
        </w:rPr>
        <w:t>(项号3)</w:t>
      </w:r>
    </w:p>
    <w:p>
      <w:pPr>
        <w:widowControl/>
        <w:spacing w:line="440" w:lineRule="exact"/>
        <w:ind w:firstLine="480" w:firstLineChars="200"/>
        <w:jc w:val="left"/>
        <w:rPr>
          <w:rFonts w:hint="eastAsia" w:ascii="微软雅黑" w:hAnsi="微软雅黑" w:eastAsia="微软雅黑" w:cs="微软雅黑"/>
          <w:kern w:val="0"/>
          <w:sz w:val="27"/>
          <w:szCs w:val="27"/>
        </w:rPr>
      </w:pPr>
      <w:r>
        <w:rPr>
          <w:rFonts w:hint="eastAsia" w:ascii="宋体" w:hAnsi="宋体" w:cs="宋体"/>
          <w:kern w:val="0"/>
          <w:sz w:val="24"/>
          <w:lang w:bidi="ar"/>
        </w:rPr>
        <w:t>4、施工方应提供良好的服务，在施工的各个阶段应事先安排好各项具体工作及采购人需要配合的工作。</w:t>
      </w:r>
      <w:r>
        <w:rPr>
          <w:rFonts w:hint="eastAsia" w:ascii="宋体" w:hAnsi="宋体" w:cs="宋体"/>
          <w:b/>
          <w:bCs/>
          <w:kern w:val="0"/>
          <w:sz w:val="24"/>
          <w:shd w:val="clear" w:color="auto" w:fill="FFFFFF"/>
          <w:lang w:bidi="ar"/>
        </w:rPr>
        <w:t>(项号4)</w:t>
      </w:r>
    </w:p>
    <w:p>
      <w:pPr>
        <w:widowControl/>
        <w:spacing w:line="440" w:lineRule="exact"/>
        <w:ind w:firstLine="480" w:firstLineChars="200"/>
        <w:jc w:val="left"/>
        <w:rPr>
          <w:rFonts w:hint="eastAsia" w:ascii="微软雅黑" w:hAnsi="微软雅黑" w:eastAsia="微软雅黑" w:cs="微软雅黑"/>
          <w:kern w:val="0"/>
          <w:sz w:val="27"/>
          <w:szCs w:val="27"/>
        </w:rPr>
      </w:pPr>
      <w:r>
        <w:rPr>
          <w:rFonts w:hint="eastAsia" w:ascii="宋体" w:hAnsi="宋体" w:cs="宋体"/>
          <w:kern w:val="0"/>
          <w:sz w:val="24"/>
          <w:lang w:bidi="ar"/>
        </w:rPr>
        <w:t>5、隐蔽工程等关键工序，采购人有权邀请权威机构或部门进行复核或检验，如不合格，施工方承担相应费用、工期延误责任及一切由此造成的损失。</w:t>
      </w:r>
      <w:r>
        <w:rPr>
          <w:rFonts w:hint="eastAsia" w:ascii="宋体" w:hAnsi="宋体" w:cs="宋体"/>
          <w:b/>
          <w:bCs/>
          <w:kern w:val="0"/>
          <w:sz w:val="24"/>
          <w:shd w:val="clear" w:color="auto" w:fill="FFFFFF"/>
          <w:lang w:bidi="ar"/>
        </w:rPr>
        <w:t>(项号5)</w:t>
      </w:r>
    </w:p>
    <w:p>
      <w:pPr>
        <w:widowControl/>
        <w:spacing w:line="440" w:lineRule="exact"/>
        <w:ind w:firstLine="480" w:firstLineChars="200"/>
        <w:jc w:val="left"/>
        <w:rPr>
          <w:rFonts w:hint="eastAsia" w:ascii="微软雅黑" w:hAnsi="微软雅黑" w:eastAsia="微软雅黑" w:cs="微软雅黑"/>
          <w:kern w:val="0"/>
          <w:sz w:val="27"/>
          <w:szCs w:val="27"/>
        </w:rPr>
      </w:pPr>
      <w:r>
        <w:rPr>
          <w:rFonts w:hint="eastAsia" w:ascii="宋体" w:hAnsi="宋体" w:cs="宋体"/>
          <w:kern w:val="0"/>
          <w:sz w:val="24"/>
          <w:lang w:bidi="ar"/>
        </w:rPr>
        <w:t>6、工程完成后，施工方申报验收前要提供完整、准确的竣工图纸、有关资料及相应数据文件。</w:t>
      </w:r>
      <w:r>
        <w:rPr>
          <w:rFonts w:hint="eastAsia" w:ascii="宋体" w:hAnsi="宋体" w:cs="宋体"/>
          <w:b/>
          <w:bCs/>
          <w:kern w:val="0"/>
          <w:sz w:val="24"/>
          <w:shd w:val="clear" w:color="auto" w:fill="FFFFFF"/>
          <w:lang w:bidi="ar"/>
        </w:rPr>
        <w:t>(项号6)</w:t>
      </w:r>
    </w:p>
    <w:p>
      <w:pPr>
        <w:widowControl/>
        <w:spacing w:line="440" w:lineRule="exact"/>
        <w:ind w:firstLine="480" w:firstLineChars="200"/>
        <w:jc w:val="left"/>
        <w:rPr>
          <w:rFonts w:hint="eastAsia" w:ascii="微软雅黑" w:hAnsi="微软雅黑" w:eastAsia="微软雅黑" w:cs="微软雅黑"/>
          <w:kern w:val="0"/>
          <w:sz w:val="27"/>
          <w:szCs w:val="27"/>
        </w:rPr>
      </w:pPr>
      <w:r>
        <w:rPr>
          <w:rFonts w:hint="eastAsia" w:ascii="宋体" w:hAnsi="宋体" w:cs="宋体"/>
          <w:kern w:val="0"/>
          <w:sz w:val="24"/>
          <w:lang w:bidi="ar"/>
        </w:rPr>
        <w:t>7、经采购人检查认为质量不合格时，施工方应按业主要求进行整修和返工，由此引起的工程延误和费用中标方自负。整改完毕再次会同验收，验收达到采购人满意，验收结果经双方确认签字、加盖各自单位的公章，验收过程费用由中标方承担。</w:t>
      </w:r>
      <w:r>
        <w:rPr>
          <w:rFonts w:hint="eastAsia" w:ascii="宋体" w:hAnsi="宋体" w:cs="宋体"/>
          <w:b/>
          <w:bCs/>
          <w:kern w:val="0"/>
          <w:sz w:val="24"/>
          <w:shd w:val="clear" w:color="auto" w:fill="FFFFFF"/>
          <w:lang w:bidi="ar"/>
        </w:rPr>
        <w:t>(项号7)</w:t>
      </w:r>
    </w:p>
    <w:p>
      <w:pPr>
        <w:widowControl/>
        <w:spacing w:line="440" w:lineRule="exact"/>
        <w:jc w:val="left"/>
        <w:rPr>
          <w:rFonts w:hint="eastAsia" w:ascii="宋体" w:hAnsi="宋体" w:cs="宋体"/>
          <w:b/>
          <w:kern w:val="0"/>
          <w:sz w:val="24"/>
          <w:shd w:val="clear" w:color="auto" w:fill="FFFFFF"/>
          <w:lang w:bidi="ar"/>
        </w:rPr>
      </w:pPr>
      <w:r>
        <w:rPr>
          <w:rFonts w:hint="eastAsia" w:ascii="宋体" w:hAnsi="宋体" w:cs="宋体"/>
          <w:b/>
          <w:kern w:val="0"/>
          <w:sz w:val="24"/>
          <w:shd w:val="clear" w:color="auto" w:fill="FFFFFF"/>
          <w:lang w:bidi="ar"/>
        </w:rPr>
        <w:t>（4）施工及现场管理要求</w:t>
      </w:r>
    </w:p>
    <w:p>
      <w:pPr>
        <w:widowControl/>
        <w:spacing w:line="440" w:lineRule="exact"/>
        <w:ind w:firstLine="480" w:firstLineChars="200"/>
        <w:jc w:val="left"/>
        <w:rPr>
          <w:rFonts w:hint="eastAsia" w:ascii="宋体" w:hAnsi="宋体" w:cs="宋体"/>
          <w:kern w:val="0"/>
          <w:sz w:val="24"/>
          <w:lang w:bidi="ar"/>
        </w:rPr>
      </w:pPr>
      <w:r>
        <w:rPr>
          <w:rFonts w:hint="eastAsia" w:ascii="宋体" w:hAnsi="宋体" w:cs="宋体"/>
          <w:kern w:val="0"/>
          <w:sz w:val="24"/>
          <w:lang w:bidi="ar"/>
        </w:rPr>
        <w:t>1、执行国家及省市有关法律、法规规定。在实施和完成本合同工程过程中，承包人应时刻关注和采取适当措施保障所有在场工作人员的安全，保证工程施工安全，现场施工应当保持有条不紊；负责已完工部分工程的保护工作。</w:t>
      </w:r>
      <w:r>
        <w:rPr>
          <w:rFonts w:hint="eastAsia" w:ascii="宋体" w:hAnsi="宋体" w:cs="宋体"/>
          <w:b/>
          <w:bCs/>
          <w:kern w:val="0"/>
          <w:sz w:val="24"/>
          <w:shd w:val="clear" w:color="auto" w:fill="FFFFFF"/>
          <w:lang w:bidi="ar"/>
        </w:rPr>
        <w:t>(项号8)</w:t>
      </w:r>
    </w:p>
    <w:p>
      <w:pPr>
        <w:widowControl/>
        <w:spacing w:line="440" w:lineRule="exact"/>
        <w:ind w:firstLine="480" w:firstLineChars="200"/>
        <w:jc w:val="left"/>
        <w:rPr>
          <w:rFonts w:ascii="宋体" w:hAnsi="宋体" w:cs="宋体"/>
          <w:kern w:val="0"/>
          <w:sz w:val="24"/>
          <w:lang w:bidi="ar"/>
        </w:rPr>
      </w:pPr>
      <w:r>
        <w:rPr>
          <w:rFonts w:hint="eastAsia" w:ascii="宋体" w:hAnsi="宋体" w:cs="宋体"/>
          <w:kern w:val="0"/>
          <w:sz w:val="24"/>
          <w:lang w:bidi="ar"/>
        </w:rPr>
        <w:t>2、</w:t>
      </w:r>
      <w:r>
        <w:rPr>
          <w:rFonts w:ascii="宋体" w:hAnsi="宋体" w:cs="宋体"/>
          <w:kern w:val="0"/>
          <w:sz w:val="24"/>
          <w:lang w:bidi="ar"/>
        </w:rPr>
        <w:t>严禁乱搭盖、乱占道，堆放材料的工棚严禁当作工人宿舍。施工中使用的材料应严格堆放在正在施工</w:t>
      </w:r>
      <w:r>
        <w:rPr>
          <w:rFonts w:hint="eastAsia" w:ascii="宋体" w:hAnsi="宋体" w:cs="宋体"/>
          <w:kern w:val="0"/>
          <w:sz w:val="24"/>
          <w:lang w:bidi="ar"/>
        </w:rPr>
        <w:t>的场地</w:t>
      </w:r>
      <w:r>
        <w:rPr>
          <w:rFonts w:ascii="宋体" w:hAnsi="宋体" w:cs="宋体"/>
          <w:kern w:val="0"/>
          <w:sz w:val="24"/>
          <w:lang w:bidi="ar"/>
        </w:rPr>
        <w:t>内并设置围档，不得随意堆放占道。</w:t>
      </w:r>
      <w:r>
        <w:rPr>
          <w:rFonts w:hint="eastAsia" w:ascii="宋体" w:hAnsi="宋体" w:cs="宋体"/>
          <w:b/>
          <w:bCs/>
          <w:kern w:val="0"/>
          <w:sz w:val="24"/>
          <w:shd w:val="clear" w:color="auto" w:fill="FFFFFF"/>
          <w:lang w:bidi="ar"/>
        </w:rPr>
        <w:t>(项号9)</w:t>
      </w:r>
    </w:p>
    <w:p>
      <w:pPr>
        <w:widowControl/>
        <w:spacing w:line="440" w:lineRule="exact"/>
        <w:ind w:firstLine="480" w:firstLineChars="200"/>
        <w:jc w:val="left"/>
        <w:rPr>
          <w:rFonts w:hint="eastAsia" w:ascii="微软雅黑" w:hAnsi="微软雅黑" w:eastAsia="微软雅黑" w:cs="微软雅黑"/>
          <w:kern w:val="0"/>
          <w:sz w:val="27"/>
          <w:szCs w:val="27"/>
        </w:rPr>
      </w:pPr>
      <w:r>
        <w:rPr>
          <w:rFonts w:hint="eastAsia" w:ascii="宋体" w:hAnsi="宋体" w:cs="宋体"/>
          <w:kern w:val="0"/>
          <w:sz w:val="24"/>
          <w:lang w:bidi="ar"/>
        </w:rPr>
        <w:t>3、施工方必须精心做好各项施工前的准备工作。施工方必须严格执行采购人所提供的施工工艺规范及相关规定（如施工设 计图要求）。</w:t>
      </w:r>
      <w:r>
        <w:rPr>
          <w:rFonts w:hint="eastAsia" w:ascii="宋体" w:hAnsi="宋体" w:cs="宋体"/>
          <w:b/>
          <w:bCs/>
          <w:kern w:val="0"/>
          <w:sz w:val="24"/>
          <w:shd w:val="clear" w:color="auto" w:fill="FFFFFF"/>
          <w:lang w:bidi="ar"/>
        </w:rPr>
        <w:t>(项号10)</w:t>
      </w:r>
    </w:p>
    <w:p>
      <w:pPr>
        <w:widowControl/>
        <w:spacing w:line="440" w:lineRule="exact"/>
        <w:ind w:firstLine="480" w:firstLineChars="200"/>
        <w:jc w:val="left"/>
        <w:rPr>
          <w:rFonts w:hint="eastAsia" w:ascii="微软雅黑" w:hAnsi="微软雅黑" w:eastAsia="微软雅黑" w:cs="微软雅黑"/>
          <w:kern w:val="0"/>
          <w:sz w:val="27"/>
          <w:szCs w:val="27"/>
        </w:rPr>
      </w:pPr>
      <w:r>
        <w:rPr>
          <w:rFonts w:hint="eastAsia" w:ascii="宋体" w:hAnsi="宋体" w:cs="宋体"/>
          <w:kern w:val="0"/>
          <w:sz w:val="24"/>
          <w:lang w:bidi="ar"/>
        </w:rPr>
        <w:t>4、施工方自行承担与成交项目有关的安全责任。施工过程中，若出现重大安全事故，依据相关法律法规的规定施工方需暂停施工，由此对工期造成延误，施工方应承担相关的违约责任。</w:t>
      </w:r>
      <w:r>
        <w:rPr>
          <w:rFonts w:hint="eastAsia" w:ascii="宋体" w:hAnsi="宋体" w:cs="宋体"/>
          <w:b/>
          <w:bCs/>
          <w:kern w:val="0"/>
          <w:sz w:val="24"/>
          <w:shd w:val="clear" w:color="auto" w:fill="FFFFFF"/>
          <w:lang w:bidi="ar"/>
        </w:rPr>
        <w:t>(项号11)</w:t>
      </w:r>
    </w:p>
    <w:p>
      <w:pPr>
        <w:widowControl/>
        <w:spacing w:line="440" w:lineRule="exact"/>
        <w:ind w:firstLine="480" w:firstLineChars="200"/>
        <w:jc w:val="left"/>
        <w:rPr>
          <w:rFonts w:hint="eastAsia" w:ascii="微软雅黑" w:hAnsi="微软雅黑" w:eastAsia="微软雅黑" w:cs="微软雅黑"/>
          <w:kern w:val="0"/>
          <w:sz w:val="27"/>
          <w:szCs w:val="27"/>
        </w:rPr>
      </w:pPr>
      <w:r>
        <w:rPr>
          <w:rFonts w:hint="eastAsia" w:ascii="宋体" w:hAnsi="宋体" w:cs="宋体"/>
          <w:kern w:val="0"/>
          <w:sz w:val="24"/>
          <w:lang w:bidi="ar"/>
        </w:rPr>
        <w:t>5、施工方必须服从采购人的所有工程管理的规定。施工方必须严格按图施工，遇有变更时需经采购人书面同意后方可施工，变更部分的工程造价根据成交项目预算作相应增减。因施工方原因导致工程造价提高，施工方需承担工程造价增加部分的费用。</w:t>
      </w:r>
      <w:r>
        <w:rPr>
          <w:rFonts w:hint="eastAsia" w:ascii="宋体" w:hAnsi="宋体" w:cs="宋体"/>
          <w:b/>
          <w:bCs/>
          <w:kern w:val="0"/>
          <w:sz w:val="24"/>
          <w:shd w:val="clear" w:color="auto" w:fill="FFFFFF"/>
          <w:lang w:bidi="ar"/>
        </w:rPr>
        <w:t>(项号12)</w:t>
      </w:r>
    </w:p>
    <w:p>
      <w:pPr>
        <w:widowControl/>
        <w:spacing w:line="440" w:lineRule="exact"/>
        <w:ind w:firstLine="480" w:firstLineChars="200"/>
        <w:jc w:val="left"/>
        <w:rPr>
          <w:rFonts w:hint="eastAsia" w:ascii="微软雅黑" w:hAnsi="微软雅黑" w:eastAsia="微软雅黑" w:cs="微软雅黑"/>
          <w:kern w:val="0"/>
          <w:sz w:val="27"/>
          <w:szCs w:val="27"/>
        </w:rPr>
      </w:pPr>
      <w:r>
        <w:rPr>
          <w:rFonts w:hint="eastAsia" w:ascii="宋体" w:hAnsi="宋体" w:cs="宋体"/>
          <w:kern w:val="0"/>
          <w:sz w:val="24"/>
          <w:lang w:bidi="ar"/>
        </w:rPr>
        <w:t>6、施工方必须在保证工期的前提下合理安排施工设施。施工方进入工地必须保证工地四邻建筑物的安全。由施工引起的工地四邻建筑物受到影响由施工方负责。</w:t>
      </w:r>
      <w:r>
        <w:rPr>
          <w:rFonts w:hint="eastAsia" w:ascii="宋体" w:hAnsi="宋体" w:cs="宋体"/>
          <w:b/>
          <w:bCs/>
          <w:kern w:val="0"/>
          <w:sz w:val="24"/>
          <w:shd w:val="clear" w:color="auto" w:fill="FFFFFF"/>
          <w:lang w:bidi="ar"/>
        </w:rPr>
        <w:t>(项号13)</w:t>
      </w:r>
    </w:p>
    <w:p>
      <w:pPr>
        <w:widowControl/>
        <w:spacing w:line="440" w:lineRule="exact"/>
        <w:ind w:firstLine="480" w:firstLineChars="200"/>
        <w:jc w:val="left"/>
        <w:rPr>
          <w:rFonts w:hint="eastAsia" w:ascii="微软雅黑" w:hAnsi="微软雅黑" w:eastAsia="微软雅黑" w:cs="微软雅黑"/>
          <w:kern w:val="0"/>
          <w:sz w:val="27"/>
          <w:szCs w:val="27"/>
        </w:rPr>
      </w:pPr>
      <w:r>
        <w:rPr>
          <w:rFonts w:hint="eastAsia" w:ascii="宋体" w:hAnsi="宋体" w:cs="宋体"/>
          <w:kern w:val="0"/>
          <w:sz w:val="24"/>
          <w:shd w:val="clear" w:color="auto" w:fill="FFFFFF"/>
          <w:lang w:bidi="ar"/>
        </w:rPr>
        <w:t>★</w:t>
      </w:r>
      <w:r>
        <w:rPr>
          <w:rFonts w:hint="eastAsia" w:ascii="宋体" w:hAnsi="宋体" w:cs="宋体"/>
          <w:kern w:val="0"/>
          <w:sz w:val="24"/>
          <w:lang w:bidi="ar"/>
        </w:rPr>
        <w:t>7、本工程安全文明施工必须达到合格工程要求。施工方应遵守国家《建设工程安全生产管理条例》（国务院令第393号）以及政府有关工程建设安全生产管理规定及采购人工作需要，认真做好施工现场的防尘防噪音工作。严格按安全标准组织施工，并随时接受行业安全检查人员依法实施的监督检查，采取必要的安全防护措施，消除事故隐患。由于施工方安全措施不力造成事故的责任和因此发生的费用，由施工方承担。</w:t>
      </w:r>
    </w:p>
    <w:p>
      <w:pPr>
        <w:widowControl/>
        <w:spacing w:line="440" w:lineRule="exact"/>
        <w:ind w:firstLine="480" w:firstLineChars="200"/>
        <w:jc w:val="left"/>
        <w:rPr>
          <w:rFonts w:hint="eastAsia" w:ascii="微软雅黑" w:hAnsi="微软雅黑" w:eastAsia="微软雅黑" w:cs="微软雅黑"/>
          <w:kern w:val="0"/>
          <w:sz w:val="27"/>
          <w:szCs w:val="27"/>
        </w:rPr>
      </w:pPr>
      <w:r>
        <w:rPr>
          <w:rFonts w:hint="eastAsia" w:ascii="宋体" w:hAnsi="宋体" w:cs="宋体"/>
          <w:kern w:val="0"/>
          <w:sz w:val="24"/>
          <w:lang w:bidi="ar"/>
        </w:rPr>
        <w:t>8、发生伤亡及其他安全事故，施工方应按有关规定立即上报有关部门并通知监理和采购人，同时按政府有关部门要求处理，由事故责任方承担发生的费用。</w:t>
      </w:r>
      <w:r>
        <w:rPr>
          <w:rFonts w:hint="eastAsia" w:ascii="宋体" w:hAnsi="宋体" w:cs="宋体"/>
          <w:b/>
          <w:bCs/>
          <w:kern w:val="0"/>
          <w:sz w:val="24"/>
          <w:shd w:val="clear" w:color="auto" w:fill="FFFFFF"/>
          <w:lang w:bidi="ar"/>
        </w:rPr>
        <w:t>(项号14)</w:t>
      </w:r>
    </w:p>
    <w:p>
      <w:pPr>
        <w:widowControl/>
        <w:spacing w:line="440" w:lineRule="exact"/>
        <w:ind w:firstLine="480" w:firstLineChars="200"/>
        <w:jc w:val="left"/>
        <w:rPr>
          <w:rFonts w:hint="eastAsia" w:ascii="微软雅黑" w:hAnsi="微软雅黑" w:eastAsia="微软雅黑" w:cs="微软雅黑"/>
          <w:kern w:val="0"/>
          <w:sz w:val="27"/>
          <w:szCs w:val="27"/>
        </w:rPr>
      </w:pPr>
      <w:r>
        <w:rPr>
          <w:rFonts w:hint="eastAsia" w:ascii="宋体" w:hAnsi="宋体" w:cs="宋体"/>
          <w:kern w:val="0"/>
          <w:sz w:val="24"/>
          <w:lang w:bidi="ar"/>
        </w:rPr>
        <w:t>9、施工方负责安排好临时设施的规划和临时设施的搭设，负责对施工及生活临时水电、排水排污的规划及管理。对施工区、生活区、材料堆场、材料加工场进行合理的规划，要求悬挂各类警示、标示牌，必须做到标示明显整齐。所有临时设施必须达到环保部门要求、建管部门制订的强制性行业标准。</w:t>
      </w:r>
      <w:r>
        <w:rPr>
          <w:rFonts w:hint="eastAsia" w:ascii="宋体" w:hAnsi="宋体" w:cs="宋体"/>
          <w:b/>
          <w:bCs/>
          <w:kern w:val="0"/>
          <w:sz w:val="24"/>
          <w:shd w:val="clear" w:color="auto" w:fill="FFFFFF"/>
          <w:lang w:bidi="ar"/>
        </w:rPr>
        <w:t>(项号15)</w:t>
      </w:r>
    </w:p>
    <w:p>
      <w:pPr>
        <w:widowControl/>
        <w:spacing w:line="440" w:lineRule="exact"/>
        <w:ind w:firstLine="480" w:firstLineChars="200"/>
        <w:jc w:val="left"/>
        <w:rPr>
          <w:rFonts w:hint="eastAsia" w:ascii="微软雅黑" w:hAnsi="微软雅黑" w:eastAsia="微软雅黑" w:cs="微软雅黑"/>
          <w:kern w:val="0"/>
          <w:sz w:val="27"/>
          <w:szCs w:val="27"/>
        </w:rPr>
      </w:pPr>
      <w:r>
        <w:rPr>
          <w:rFonts w:hint="eastAsia" w:ascii="宋体" w:hAnsi="宋体" w:cs="宋体"/>
          <w:kern w:val="0"/>
          <w:sz w:val="24"/>
          <w:lang w:bidi="ar"/>
        </w:rPr>
        <w:t>10、必须做到文明施工。各种材料必须在指 定的地方堆放；车辆进出所带来的泥土施工方须及时清理。</w:t>
      </w:r>
      <w:r>
        <w:rPr>
          <w:rFonts w:hint="eastAsia" w:ascii="宋体" w:hAnsi="宋体" w:cs="宋体"/>
          <w:b/>
          <w:bCs/>
          <w:kern w:val="0"/>
          <w:sz w:val="24"/>
          <w:shd w:val="clear" w:color="auto" w:fill="FFFFFF"/>
          <w:lang w:bidi="ar"/>
        </w:rPr>
        <w:t>(项号16)</w:t>
      </w:r>
    </w:p>
    <w:p>
      <w:pPr>
        <w:widowControl/>
        <w:spacing w:line="440" w:lineRule="exact"/>
        <w:ind w:firstLine="480" w:firstLineChars="200"/>
        <w:jc w:val="left"/>
        <w:rPr>
          <w:rFonts w:hint="eastAsia" w:ascii="微软雅黑" w:hAnsi="微软雅黑" w:eastAsia="微软雅黑" w:cs="微软雅黑"/>
          <w:kern w:val="0"/>
          <w:sz w:val="27"/>
          <w:szCs w:val="27"/>
        </w:rPr>
      </w:pPr>
      <w:r>
        <w:rPr>
          <w:rFonts w:hint="eastAsia" w:ascii="宋体" w:hAnsi="宋体" w:cs="宋体"/>
          <w:kern w:val="0"/>
          <w:sz w:val="24"/>
          <w:lang w:bidi="ar"/>
        </w:rPr>
        <w:t>11、施工中现场工人必须统一戴安全帽穿安全服，不得穿拖鞋，光脚、光膀子施工。施工管理人员必须统一着装、佩戴工作牌、戴好安全帽。</w:t>
      </w:r>
      <w:r>
        <w:rPr>
          <w:rFonts w:hint="eastAsia" w:ascii="宋体" w:hAnsi="宋体" w:cs="宋体"/>
          <w:b/>
          <w:bCs/>
          <w:kern w:val="0"/>
          <w:sz w:val="24"/>
          <w:shd w:val="clear" w:color="auto" w:fill="FFFFFF"/>
          <w:lang w:bidi="ar"/>
        </w:rPr>
        <w:t>(项号17)</w:t>
      </w:r>
    </w:p>
    <w:p>
      <w:pPr>
        <w:widowControl/>
        <w:spacing w:line="440" w:lineRule="exact"/>
        <w:ind w:firstLine="480" w:firstLineChars="200"/>
        <w:jc w:val="left"/>
        <w:rPr>
          <w:rFonts w:hint="eastAsia" w:ascii="微软雅黑" w:hAnsi="微软雅黑" w:eastAsia="微软雅黑" w:cs="微软雅黑"/>
          <w:kern w:val="0"/>
          <w:sz w:val="27"/>
          <w:szCs w:val="27"/>
        </w:rPr>
      </w:pPr>
      <w:r>
        <w:rPr>
          <w:rFonts w:hint="eastAsia" w:ascii="宋体" w:hAnsi="宋体" w:cs="宋体"/>
          <w:kern w:val="0"/>
          <w:sz w:val="24"/>
          <w:lang w:bidi="ar"/>
        </w:rPr>
        <w:t>12、按照部颁施工用电应符合《施工现场临时用电安全技术规范》JGJ46-2005的要求。成交人负责施工现场临时用电布线和用电安全，遵守采购人有关用电使用规定。</w:t>
      </w:r>
      <w:r>
        <w:rPr>
          <w:rFonts w:hint="eastAsia" w:ascii="宋体" w:hAnsi="宋体" w:cs="宋体"/>
          <w:b/>
          <w:bCs/>
          <w:kern w:val="0"/>
          <w:sz w:val="24"/>
          <w:shd w:val="clear" w:color="auto" w:fill="FFFFFF"/>
          <w:lang w:bidi="ar"/>
        </w:rPr>
        <w:t>(项号18)</w:t>
      </w:r>
    </w:p>
    <w:p>
      <w:pPr>
        <w:widowControl/>
        <w:spacing w:line="440" w:lineRule="exact"/>
        <w:ind w:firstLine="480" w:firstLineChars="200"/>
        <w:jc w:val="left"/>
        <w:rPr>
          <w:rFonts w:hint="eastAsia" w:ascii="宋体" w:hAnsi="宋体" w:cs="宋体"/>
          <w:b/>
          <w:bCs/>
          <w:kern w:val="0"/>
          <w:sz w:val="24"/>
          <w:shd w:val="clear" w:color="auto" w:fill="FFFFFF"/>
          <w:lang w:bidi="ar"/>
        </w:rPr>
      </w:pPr>
      <w:r>
        <w:rPr>
          <w:rFonts w:hint="eastAsia" w:ascii="宋体" w:hAnsi="宋体" w:cs="宋体"/>
          <w:kern w:val="0"/>
          <w:sz w:val="24"/>
          <w:lang w:bidi="ar"/>
        </w:rPr>
        <w:t>13、施工机具进场要求，按进度计划进场。</w:t>
      </w:r>
      <w:r>
        <w:rPr>
          <w:rFonts w:hint="eastAsia" w:ascii="宋体" w:hAnsi="宋体" w:cs="宋体"/>
          <w:b/>
          <w:bCs/>
          <w:kern w:val="0"/>
          <w:sz w:val="24"/>
          <w:shd w:val="clear" w:color="auto" w:fill="FFFFFF"/>
          <w:lang w:bidi="ar"/>
        </w:rPr>
        <w:t>(项号19)</w:t>
      </w:r>
    </w:p>
    <w:p>
      <w:pPr>
        <w:widowControl/>
        <w:spacing w:line="440" w:lineRule="exact"/>
        <w:ind w:firstLine="480" w:firstLineChars="200"/>
        <w:jc w:val="left"/>
        <w:rPr>
          <w:rFonts w:ascii="宋体" w:hAnsi="宋体" w:cs="宋体"/>
          <w:kern w:val="0"/>
          <w:sz w:val="24"/>
          <w:shd w:val="clear" w:color="auto" w:fill="FFFFFF"/>
          <w:lang w:bidi="ar"/>
        </w:rPr>
      </w:pPr>
      <w:r>
        <w:rPr>
          <w:rFonts w:hint="eastAsia" w:ascii="宋体" w:hAnsi="宋体" w:cs="宋体"/>
          <w:kern w:val="0"/>
          <w:sz w:val="24"/>
          <w:shd w:val="clear" w:color="auto" w:fill="FFFFFF"/>
          <w:lang w:bidi="ar"/>
        </w:rPr>
        <w:t>14、供应商必须按照经监理人批准的施工组织设计或施工方案，根据工程施工进度需要，组织施工机具进场所有施工现场使用的机械（具）必须经验收合格，才能进场使用。严禁不合格的产品进入工地使用。施工机具进场应符合《建设工程安全生产管理条例》及其他国家、省、市有关现施工机具进场的规定。</w:t>
      </w:r>
      <w:r>
        <w:rPr>
          <w:rFonts w:hint="eastAsia" w:ascii="宋体" w:hAnsi="宋体" w:cs="宋体"/>
          <w:b/>
          <w:bCs/>
          <w:kern w:val="0"/>
          <w:sz w:val="24"/>
          <w:shd w:val="clear" w:color="auto" w:fill="FFFFFF"/>
          <w:lang w:bidi="ar"/>
        </w:rPr>
        <w:t>(项号20)</w:t>
      </w:r>
    </w:p>
    <w:p>
      <w:pPr>
        <w:widowControl/>
        <w:spacing w:line="440" w:lineRule="exact"/>
        <w:jc w:val="left"/>
        <w:rPr>
          <w:rFonts w:hint="eastAsia" w:ascii="微软雅黑" w:hAnsi="微软雅黑" w:eastAsia="微软雅黑" w:cs="微软雅黑"/>
          <w:kern w:val="0"/>
          <w:sz w:val="27"/>
          <w:szCs w:val="27"/>
        </w:rPr>
      </w:pPr>
      <w:r>
        <w:rPr>
          <w:rFonts w:hint="eastAsia" w:ascii="宋体" w:hAnsi="宋体" w:cs="宋体"/>
          <w:b/>
          <w:kern w:val="0"/>
          <w:sz w:val="24"/>
          <w:lang w:bidi="ar"/>
        </w:rPr>
        <w:t>（5）材料设备供应</w:t>
      </w:r>
    </w:p>
    <w:p>
      <w:pPr>
        <w:widowControl/>
        <w:spacing w:line="440" w:lineRule="exact"/>
        <w:ind w:firstLine="480" w:firstLineChars="200"/>
        <w:jc w:val="left"/>
        <w:rPr>
          <w:rFonts w:hint="eastAsia" w:ascii="微软雅黑" w:hAnsi="微软雅黑" w:eastAsia="微软雅黑" w:cs="微软雅黑"/>
          <w:kern w:val="0"/>
          <w:sz w:val="27"/>
          <w:szCs w:val="27"/>
        </w:rPr>
      </w:pPr>
      <w:r>
        <w:rPr>
          <w:rFonts w:hint="eastAsia" w:ascii="宋体" w:hAnsi="宋体" w:cs="宋体"/>
          <w:kern w:val="0"/>
          <w:sz w:val="24"/>
          <w:lang w:bidi="ar"/>
        </w:rPr>
        <w:t>1、施工方自购的用于本工程的材料设备必须是合格产品且符合规范，在材料设备进场前应经采购人确认，否则采购人有权拒绝进场。当施工方选定的材料质量达不到预期质量目标要求时，采购人保留更换的权利。若使用劣质材料施工，一经发现，采购人有权制止使用，直至停工、返工或终止合同。无论采购人是否发现和制止，由于使用劣质材料施工所引起的一切责任及所发生的费用经工程师确认后，均由施工方自负。</w:t>
      </w:r>
      <w:r>
        <w:rPr>
          <w:rFonts w:hint="eastAsia" w:ascii="宋体" w:hAnsi="宋体" w:cs="宋体"/>
          <w:b/>
          <w:bCs/>
          <w:kern w:val="0"/>
          <w:sz w:val="24"/>
          <w:shd w:val="clear" w:color="auto" w:fill="FFFFFF"/>
          <w:lang w:bidi="ar"/>
        </w:rPr>
        <w:t>(项号21)</w:t>
      </w:r>
    </w:p>
    <w:p>
      <w:pPr>
        <w:widowControl/>
        <w:spacing w:line="440" w:lineRule="exact"/>
        <w:ind w:firstLine="480" w:firstLineChars="200"/>
        <w:jc w:val="left"/>
        <w:rPr>
          <w:rFonts w:hint="eastAsia" w:ascii="微软雅黑" w:hAnsi="微软雅黑" w:eastAsia="微软雅黑" w:cs="微软雅黑"/>
          <w:kern w:val="0"/>
          <w:sz w:val="27"/>
          <w:szCs w:val="27"/>
        </w:rPr>
      </w:pPr>
      <w:r>
        <w:rPr>
          <w:rFonts w:hint="eastAsia" w:ascii="宋体" w:hAnsi="宋体" w:cs="宋体"/>
          <w:kern w:val="0"/>
          <w:sz w:val="24"/>
          <w:lang w:bidi="ar"/>
        </w:rPr>
        <w:t>2、进场的所有产品必须是优质、全新、未用、配套齐全、无损的，且主要技术参数符合要求。经采购人检验其颜色、规格、质量和数量，签字认可后方可施工，检验不合格的，施工方应予无条件调换。</w:t>
      </w:r>
      <w:r>
        <w:rPr>
          <w:rFonts w:hint="eastAsia" w:ascii="宋体" w:hAnsi="宋体" w:cs="宋体"/>
          <w:b/>
          <w:bCs/>
          <w:kern w:val="0"/>
          <w:sz w:val="24"/>
          <w:shd w:val="clear" w:color="auto" w:fill="FFFFFF"/>
          <w:lang w:bidi="ar"/>
        </w:rPr>
        <w:t>(项号22)</w:t>
      </w:r>
    </w:p>
    <w:p>
      <w:pPr>
        <w:widowControl/>
        <w:spacing w:line="440" w:lineRule="exact"/>
        <w:ind w:firstLine="480" w:firstLineChars="200"/>
        <w:jc w:val="left"/>
        <w:rPr>
          <w:rFonts w:hint="eastAsia" w:ascii="微软雅黑" w:hAnsi="微软雅黑" w:eastAsia="微软雅黑" w:cs="微软雅黑"/>
          <w:kern w:val="0"/>
          <w:sz w:val="27"/>
          <w:szCs w:val="27"/>
        </w:rPr>
      </w:pPr>
      <w:r>
        <w:rPr>
          <w:rFonts w:hint="eastAsia" w:ascii="宋体" w:hAnsi="宋体" w:cs="宋体"/>
          <w:kern w:val="0"/>
          <w:sz w:val="24"/>
          <w:lang w:bidi="ar"/>
        </w:rPr>
        <w:t>3、主要建筑材料施工方采购前对相关颜色、规格等须经采购人确认后方可采购，施工中所有材料必须达到采购人要求，若未达要求造成的材料浪费等一切相关费用应由施工方自行承担。</w:t>
      </w:r>
      <w:r>
        <w:rPr>
          <w:rFonts w:hint="eastAsia" w:ascii="宋体" w:hAnsi="宋体" w:cs="宋体"/>
          <w:b/>
          <w:bCs/>
          <w:kern w:val="0"/>
          <w:sz w:val="24"/>
          <w:shd w:val="clear" w:color="auto" w:fill="FFFFFF"/>
          <w:lang w:bidi="ar"/>
        </w:rPr>
        <w:t>(项号23)</w:t>
      </w:r>
    </w:p>
    <w:p>
      <w:pPr>
        <w:widowControl/>
        <w:spacing w:line="440" w:lineRule="exact"/>
        <w:jc w:val="left"/>
        <w:rPr>
          <w:rFonts w:hint="eastAsia" w:ascii="微软雅黑" w:hAnsi="微软雅黑" w:eastAsia="微软雅黑" w:cs="微软雅黑"/>
          <w:kern w:val="0"/>
          <w:sz w:val="27"/>
          <w:szCs w:val="27"/>
        </w:rPr>
      </w:pPr>
      <w:r>
        <w:rPr>
          <w:rFonts w:hint="eastAsia" w:ascii="宋体" w:hAnsi="宋体" w:cs="宋体"/>
          <w:b/>
          <w:kern w:val="0"/>
          <w:sz w:val="24"/>
          <w:shd w:val="clear" w:color="auto" w:fill="FFFFFF"/>
          <w:lang w:bidi="ar"/>
        </w:rPr>
        <w:t>（6）项目经理（即项目负责人）及团队人员</w:t>
      </w:r>
    </w:p>
    <w:p>
      <w:pPr>
        <w:widowControl/>
        <w:spacing w:line="440" w:lineRule="exact"/>
        <w:ind w:firstLine="480" w:firstLineChars="200"/>
        <w:jc w:val="left"/>
        <w:rPr>
          <w:rFonts w:hint="eastAsia" w:ascii="宋体" w:hAnsi="宋体" w:cs="宋体"/>
          <w:b/>
          <w:bCs/>
          <w:kern w:val="0"/>
          <w:sz w:val="24"/>
          <w:shd w:val="clear" w:color="auto" w:fill="FFFFFF"/>
        </w:rPr>
      </w:pPr>
      <w:r>
        <w:rPr>
          <w:rFonts w:hint="eastAsia" w:ascii="宋体" w:hAnsi="宋体" w:cs="宋体"/>
          <w:kern w:val="0"/>
          <w:sz w:val="24"/>
          <w:shd w:val="clear" w:color="auto" w:fill="FFFFFF"/>
          <w:lang w:bidi="ar"/>
        </w:rPr>
        <w:t>1、成交人</w:t>
      </w:r>
      <w:r>
        <w:rPr>
          <w:rFonts w:hint="eastAsia" w:ascii="宋体" w:hAnsi="宋体" w:cs="宋体"/>
          <w:kern w:val="0"/>
          <w:sz w:val="24"/>
          <w:lang w:bidi="ar"/>
        </w:rPr>
        <w:t>提交项目管理机构及施工现场管理人员安排报告的期限：开工前7天提交给采购人确认。</w:t>
      </w:r>
      <w:r>
        <w:rPr>
          <w:rFonts w:hint="eastAsia" w:ascii="宋体" w:hAnsi="宋体" w:cs="宋体"/>
          <w:b/>
          <w:bCs/>
          <w:kern w:val="0"/>
          <w:sz w:val="24"/>
          <w:shd w:val="clear" w:color="auto" w:fill="FFFFFF"/>
          <w:lang w:bidi="ar"/>
        </w:rPr>
        <w:t>(项号24)</w:t>
      </w:r>
    </w:p>
    <w:p>
      <w:pPr>
        <w:widowControl/>
        <w:spacing w:line="440" w:lineRule="exact"/>
        <w:ind w:firstLine="480" w:firstLineChars="200"/>
        <w:jc w:val="left"/>
        <w:rPr>
          <w:rFonts w:hint="eastAsia" w:ascii="微软雅黑" w:hAnsi="微软雅黑" w:eastAsia="微软雅黑" w:cs="微软雅黑"/>
          <w:kern w:val="0"/>
          <w:sz w:val="27"/>
          <w:szCs w:val="27"/>
        </w:rPr>
      </w:pPr>
      <w:r>
        <w:rPr>
          <w:rFonts w:hint="eastAsia" w:ascii="宋体" w:hAnsi="宋体" w:cs="宋体"/>
          <w:kern w:val="0"/>
          <w:sz w:val="24"/>
          <w:lang w:bidi="ar"/>
        </w:rPr>
        <w:t>2、关于项目经理在施工现场的时间要求：未经批准，擅自离开施工现场的，每日罚款1000元，经查超过三次不在岗，采购人有权要求承包人更换项目负责人。</w:t>
      </w:r>
      <w:r>
        <w:rPr>
          <w:rFonts w:hint="eastAsia" w:ascii="宋体" w:hAnsi="宋体" w:cs="宋体"/>
          <w:b/>
          <w:bCs/>
          <w:kern w:val="0"/>
          <w:sz w:val="24"/>
          <w:shd w:val="clear" w:color="auto" w:fill="FFFFFF"/>
          <w:lang w:bidi="ar"/>
        </w:rPr>
        <w:t>(项号25)</w:t>
      </w:r>
    </w:p>
    <w:p>
      <w:pPr>
        <w:widowControl/>
        <w:spacing w:line="440" w:lineRule="exact"/>
        <w:ind w:firstLine="480" w:firstLineChars="200"/>
        <w:jc w:val="left"/>
        <w:rPr>
          <w:rFonts w:hint="eastAsia" w:ascii="微软雅黑" w:hAnsi="微软雅黑" w:eastAsia="微软雅黑" w:cs="微软雅黑"/>
          <w:kern w:val="0"/>
          <w:sz w:val="27"/>
          <w:szCs w:val="27"/>
        </w:rPr>
      </w:pPr>
      <w:r>
        <w:rPr>
          <w:rFonts w:hint="eastAsia" w:ascii="宋体" w:hAnsi="宋体" w:cs="宋体"/>
          <w:kern w:val="0"/>
          <w:sz w:val="24"/>
          <w:lang w:bidi="ar"/>
        </w:rPr>
        <w:t>3、工程竣工</w:t>
      </w:r>
    </w:p>
    <w:p>
      <w:pPr>
        <w:widowControl/>
        <w:spacing w:line="440" w:lineRule="exact"/>
        <w:ind w:firstLine="480" w:firstLineChars="200"/>
        <w:jc w:val="left"/>
        <w:rPr>
          <w:rFonts w:hint="eastAsia" w:ascii="微软雅黑" w:hAnsi="微软雅黑" w:eastAsia="微软雅黑" w:cs="微软雅黑"/>
          <w:kern w:val="0"/>
          <w:sz w:val="27"/>
          <w:szCs w:val="27"/>
        </w:rPr>
      </w:pPr>
      <w:r>
        <w:rPr>
          <w:rFonts w:hint="eastAsia" w:ascii="宋体" w:hAnsi="宋体" w:cs="宋体"/>
          <w:kern w:val="0"/>
          <w:sz w:val="24"/>
          <w:shd w:val="clear" w:color="auto" w:fill="FFFFFF"/>
          <w:lang w:bidi="ar"/>
        </w:rPr>
        <w:t>3.1成交人必须按照合同约定的竣工日期或采购人同意顺延的工期竣工。</w:t>
      </w:r>
      <w:r>
        <w:rPr>
          <w:rFonts w:hint="eastAsia" w:ascii="宋体" w:hAnsi="宋体" w:cs="宋体"/>
          <w:b/>
          <w:bCs/>
          <w:kern w:val="0"/>
          <w:sz w:val="24"/>
          <w:shd w:val="clear" w:color="auto" w:fill="FFFFFF"/>
          <w:lang w:bidi="ar"/>
        </w:rPr>
        <w:t>(项号26)</w:t>
      </w:r>
    </w:p>
    <w:p>
      <w:pPr>
        <w:widowControl/>
        <w:spacing w:line="440" w:lineRule="exact"/>
        <w:ind w:firstLine="480" w:firstLineChars="200"/>
        <w:jc w:val="left"/>
        <w:rPr>
          <w:rFonts w:hint="eastAsia" w:ascii="微软雅黑" w:hAnsi="微软雅黑" w:eastAsia="微软雅黑" w:cs="微软雅黑"/>
          <w:kern w:val="0"/>
          <w:sz w:val="27"/>
          <w:szCs w:val="27"/>
        </w:rPr>
      </w:pPr>
      <w:r>
        <w:rPr>
          <w:rFonts w:hint="eastAsia" w:ascii="宋体" w:hAnsi="宋体" w:cs="宋体"/>
          <w:kern w:val="0"/>
          <w:sz w:val="24"/>
          <w:shd w:val="clear" w:color="auto" w:fill="FFFFFF"/>
          <w:lang w:bidi="ar"/>
        </w:rPr>
        <w:t>3.2因成交人原因不能按照协合同约定的竣工日期或采购人同意顺延的工期竣工的，成交人承担违约责任。</w:t>
      </w:r>
      <w:r>
        <w:rPr>
          <w:rFonts w:hint="eastAsia" w:ascii="宋体" w:hAnsi="宋体" w:cs="宋体"/>
          <w:b/>
          <w:bCs/>
          <w:kern w:val="0"/>
          <w:sz w:val="24"/>
          <w:shd w:val="clear" w:color="auto" w:fill="FFFFFF"/>
          <w:lang w:bidi="ar"/>
        </w:rPr>
        <w:t>(项号27)</w:t>
      </w:r>
    </w:p>
    <w:p>
      <w:pPr>
        <w:widowControl/>
        <w:spacing w:line="440" w:lineRule="exact"/>
        <w:ind w:firstLine="480" w:firstLineChars="200"/>
        <w:jc w:val="left"/>
        <w:rPr>
          <w:rFonts w:hint="eastAsia" w:ascii="微软雅黑" w:hAnsi="微软雅黑" w:eastAsia="微软雅黑" w:cs="微软雅黑"/>
          <w:kern w:val="0"/>
          <w:sz w:val="27"/>
          <w:szCs w:val="27"/>
        </w:rPr>
      </w:pPr>
      <w:r>
        <w:rPr>
          <w:rFonts w:hint="eastAsia" w:ascii="宋体" w:hAnsi="宋体" w:cs="宋体"/>
          <w:kern w:val="0"/>
          <w:sz w:val="24"/>
          <w:shd w:val="clear" w:color="auto" w:fill="FFFFFF"/>
          <w:lang w:bidi="ar"/>
        </w:rPr>
        <w:t>3.3工程保修期按工程通过完工验收后、移交给采购人之日起算。</w:t>
      </w:r>
      <w:r>
        <w:rPr>
          <w:rFonts w:hint="eastAsia" w:ascii="宋体" w:hAnsi="宋体" w:cs="宋体"/>
          <w:b/>
          <w:bCs/>
          <w:kern w:val="0"/>
          <w:sz w:val="24"/>
          <w:shd w:val="clear" w:color="auto" w:fill="FFFFFF"/>
          <w:lang w:bidi="ar"/>
        </w:rPr>
        <w:t>(项号28)</w:t>
      </w:r>
    </w:p>
    <w:p>
      <w:pPr>
        <w:widowControl/>
        <w:spacing w:line="440" w:lineRule="exact"/>
        <w:ind w:firstLine="480" w:firstLineChars="200"/>
        <w:jc w:val="left"/>
        <w:rPr>
          <w:rFonts w:hint="eastAsia" w:ascii="微软雅黑" w:hAnsi="微软雅黑" w:eastAsia="微软雅黑" w:cs="微软雅黑"/>
          <w:kern w:val="0"/>
          <w:sz w:val="27"/>
          <w:szCs w:val="27"/>
        </w:rPr>
      </w:pPr>
      <w:r>
        <w:rPr>
          <w:rFonts w:hint="eastAsia" w:ascii="宋体" w:hAnsi="宋体" w:cs="宋体"/>
          <w:kern w:val="0"/>
          <w:sz w:val="24"/>
          <w:shd w:val="clear" w:color="auto" w:fill="FFFFFF"/>
          <w:lang w:bidi="ar"/>
        </w:rPr>
        <w:t>3.4项目验收：项目完成要通知采购人对项目进行验收。成交人需根据采购人提出的合理要求进行整改。</w:t>
      </w:r>
      <w:r>
        <w:rPr>
          <w:rFonts w:hint="eastAsia" w:ascii="宋体" w:hAnsi="宋体" w:cs="宋体"/>
          <w:b/>
          <w:bCs/>
          <w:kern w:val="0"/>
          <w:sz w:val="24"/>
          <w:shd w:val="clear" w:color="auto" w:fill="FFFFFF"/>
          <w:lang w:bidi="ar"/>
        </w:rPr>
        <w:t>(项号29)</w:t>
      </w:r>
    </w:p>
    <w:p>
      <w:pPr>
        <w:widowControl/>
        <w:spacing w:line="440" w:lineRule="exact"/>
        <w:jc w:val="left"/>
        <w:rPr>
          <w:rFonts w:hint="eastAsia" w:ascii="微软雅黑" w:hAnsi="微软雅黑" w:eastAsia="微软雅黑" w:cs="微软雅黑"/>
          <w:b/>
          <w:bCs/>
          <w:kern w:val="0"/>
          <w:sz w:val="27"/>
          <w:szCs w:val="27"/>
        </w:rPr>
      </w:pPr>
      <w:r>
        <w:rPr>
          <w:rFonts w:hint="eastAsia" w:ascii="宋体" w:hAnsi="宋体" w:cs="宋体"/>
          <w:b/>
          <w:bCs/>
          <w:kern w:val="0"/>
          <w:sz w:val="24"/>
          <w:shd w:val="clear" w:color="auto" w:fill="FFFFFF"/>
          <w:lang w:bidi="ar"/>
        </w:rPr>
        <w:t>（7）其他要求</w:t>
      </w:r>
    </w:p>
    <w:p>
      <w:pPr>
        <w:widowControl/>
        <w:spacing w:line="440" w:lineRule="exact"/>
        <w:ind w:firstLine="480" w:firstLineChars="200"/>
        <w:jc w:val="left"/>
        <w:rPr>
          <w:rFonts w:hint="eastAsia" w:ascii="微软雅黑" w:hAnsi="微软雅黑" w:eastAsia="微软雅黑" w:cs="微软雅黑"/>
          <w:kern w:val="0"/>
          <w:sz w:val="27"/>
          <w:szCs w:val="27"/>
        </w:rPr>
      </w:pPr>
      <w:r>
        <w:rPr>
          <w:rFonts w:hint="eastAsia" w:ascii="宋体" w:hAnsi="宋体" w:cs="宋体"/>
          <w:kern w:val="0"/>
          <w:sz w:val="24"/>
          <w:shd w:val="clear" w:color="auto" w:fill="FFFFFF"/>
          <w:lang w:bidi="ar"/>
        </w:rPr>
        <w:t>★1、成交供应商应在项目验收时向采购人提供并移交下列项目相关资料（包括但不限于下述内容）：施工内业资料，其它正式验收需提供的通知或文本或资料。</w:t>
      </w:r>
    </w:p>
    <w:p>
      <w:pPr>
        <w:widowControl/>
        <w:spacing w:line="440" w:lineRule="exact"/>
        <w:ind w:firstLine="480" w:firstLineChars="200"/>
        <w:jc w:val="left"/>
        <w:rPr>
          <w:rFonts w:hint="eastAsia" w:ascii="宋体" w:hAnsi="宋体" w:cs="宋体"/>
          <w:b/>
          <w:bCs/>
          <w:kern w:val="0"/>
          <w:sz w:val="24"/>
        </w:rPr>
      </w:pPr>
      <w:r>
        <w:rPr>
          <w:rFonts w:hint="eastAsia" w:ascii="宋体" w:hAnsi="宋体" w:cs="宋体"/>
          <w:kern w:val="0"/>
          <w:sz w:val="24"/>
          <w:shd w:val="clear" w:color="auto" w:fill="FFFFFF"/>
          <w:lang w:bidi="ar"/>
        </w:rPr>
        <w:t>2、供应商须承诺一旦成交，收到进度款后优先用于发放农民工工资，并严格落实《保障农民工工资支付条例》规定。</w:t>
      </w:r>
      <w:r>
        <w:rPr>
          <w:rFonts w:hint="eastAsia" w:ascii="宋体" w:hAnsi="宋体" w:cs="宋体"/>
          <w:b/>
          <w:bCs/>
          <w:kern w:val="0"/>
          <w:sz w:val="24"/>
          <w:shd w:val="clear" w:color="auto" w:fill="FFFFFF"/>
          <w:lang w:bidi="ar"/>
        </w:rPr>
        <w:t>(项号30)</w:t>
      </w:r>
    </w:p>
    <w:p>
      <w:pPr>
        <w:pStyle w:val="11"/>
        <w:widowControl/>
        <w:spacing w:before="75" w:beforeAutospacing="0" w:after="75" w:afterAutospacing="0" w:line="440" w:lineRule="exact"/>
      </w:pPr>
      <w:r>
        <w:t>三、商务条件</w:t>
      </w:r>
    </w:p>
    <w:tbl>
      <w:tblPr>
        <w:tblStyle w:val="13"/>
        <w:tblW w:w="494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73"/>
        <w:gridCol w:w="1200"/>
        <w:gridCol w:w="1561"/>
        <w:gridCol w:w="565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3" w:type="dxa"/>
            <w:noWrap w:val="0"/>
            <w:vAlign w:val="center"/>
          </w:tcPr>
          <w:p>
            <w:pPr>
              <w:pStyle w:val="16"/>
              <w:jc w:val="center"/>
              <w:rPr>
                <w:rFonts w:ascii="宋体" w:hAnsi="宋体" w:cs="宋体"/>
                <w:sz w:val="21"/>
                <w:szCs w:val="21"/>
              </w:rPr>
            </w:pPr>
            <w:r>
              <w:rPr>
                <w:rFonts w:ascii="宋体" w:hAnsi="宋体" w:cs="宋体"/>
                <w:sz w:val="21"/>
                <w:szCs w:val="21"/>
              </w:rPr>
              <w:t>序号</w:t>
            </w:r>
          </w:p>
        </w:tc>
        <w:tc>
          <w:tcPr>
            <w:tcW w:w="1200" w:type="dxa"/>
            <w:noWrap w:val="0"/>
            <w:vAlign w:val="center"/>
          </w:tcPr>
          <w:p>
            <w:pPr>
              <w:pStyle w:val="16"/>
              <w:jc w:val="center"/>
              <w:rPr>
                <w:rFonts w:ascii="宋体" w:hAnsi="宋体" w:cs="宋体"/>
                <w:sz w:val="21"/>
                <w:szCs w:val="21"/>
              </w:rPr>
            </w:pPr>
            <w:r>
              <w:rPr>
                <w:rFonts w:ascii="宋体" w:hAnsi="宋体" w:cs="宋体"/>
                <w:sz w:val="21"/>
                <w:szCs w:val="21"/>
              </w:rPr>
              <w:t>参数性质</w:t>
            </w:r>
          </w:p>
        </w:tc>
        <w:tc>
          <w:tcPr>
            <w:tcW w:w="1561" w:type="dxa"/>
            <w:noWrap w:val="0"/>
            <w:vAlign w:val="center"/>
          </w:tcPr>
          <w:p>
            <w:pPr>
              <w:pStyle w:val="16"/>
              <w:jc w:val="center"/>
              <w:rPr>
                <w:rFonts w:ascii="宋体" w:hAnsi="宋体" w:cs="宋体"/>
                <w:sz w:val="21"/>
                <w:szCs w:val="21"/>
              </w:rPr>
            </w:pPr>
            <w:r>
              <w:rPr>
                <w:rFonts w:ascii="宋体" w:hAnsi="宋体" w:cs="宋体"/>
                <w:sz w:val="21"/>
                <w:szCs w:val="21"/>
              </w:rPr>
              <w:t>类型</w:t>
            </w:r>
          </w:p>
        </w:tc>
        <w:tc>
          <w:tcPr>
            <w:tcW w:w="5656" w:type="dxa"/>
            <w:noWrap w:val="0"/>
            <w:vAlign w:val="center"/>
          </w:tcPr>
          <w:p>
            <w:pPr>
              <w:pStyle w:val="16"/>
              <w:jc w:val="center"/>
              <w:rPr>
                <w:rFonts w:ascii="宋体" w:hAnsi="宋体" w:cs="宋体"/>
                <w:sz w:val="21"/>
                <w:szCs w:val="21"/>
              </w:rPr>
            </w:pPr>
            <w:r>
              <w:rPr>
                <w:rFonts w:ascii="宋体" w:hAnsi="宋体" w:cs="宋体"/>
                <w:sz w:val="21"/>
                <w:szCs w:val="21"/>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82" w:hRule="atLeast"/>
        </w:trPr>
        <w:tc>
          <w:tcPr>
            <w:tcW w:w="773" w:type="dxa"/>
            <w:noWrap w:val="0"/>
            <w:vAlign w:val="center"/>
          </w:tcPr>
          <w:p>
            <w:pPr>
              <w:pStyle w:val="16"/>
              <w:jc w:val="center"/>
              <w:rPr>
                <w:rFonts w:ascii="宋体" w:hAnsi="宋体" w:cs="宋体"/>
                <w:sz w:val="21"/>
                <w:szCs w:val="21"/>
              </w:rPr>
            </w:pPr>
            <w:r>
              <w:rPr>
                <w:rFonts w:ascii="宋体" w:hAnsi="宋体" w:cs="宋体"/>
                <w:sz w:val="21"/>
                <w:szCs w:val="21"/>
              </w:rPr>
              <w:t>1</w:t>
            </w:r>
          </w:p>
        </w:tc>
        <w:tc>
          <w:tcPr>
            <w:tcW w:w="1200" w:type="dxa"/>
            <w:noWrap w:val="0"/>
            <w:vAlign w:val="center"/>
          </w:tcPr>
          <w:p>
            <w:pPr>
              <w:jc w:val="center"/>
              <w:rPr>
                <w:rFonts w:hint="eastAsia" w:ascii="宋体" w:hAnsi="宋体" w:cs="宋体"/>
                <w:szCs w:val="21"/>
              </w:rPr>
            </w:pPr>
            <w:r>
              <w:rPr>
                <w:rFonts w:hint="eastAsia" w:ascii="宋体" w:hAnsi="宋体" w:cs="宋体"/>
                <w:szCs w:val="21"/>
              </w:rPr>
              <w:t>★</w:t>
            </w:r>
          </w:p>
        </w:tc>
        <w:tc>
          <w:tcPr>
            <w:tcW w:w="1561" w:type="dxa"/>
            <w:noWrap w:val="0"/>
            <w:vAlign w:val="center"/>
          </w:tcPr>
          <w:p>
            <w:pPr>
              <w:pStyle w:val="16"/>
              <w:jc w:val="center"/>
              <w:rPr>
                <w:rFonts w:ascii="宋体" w:hAnsi="宋体" w:cs="宋体"/>
                <w:sz w:val="21"/>
                <w:szCs w:val="21"/>
              </w:rPr>
            </w:pPr>
            <w:r>
              <w:rPr>
                <w:rFonts w:ascii="宋体" w:hAnsi="宋体" w:cs="宋体"/>
                <w:sz w:val="21"/>
                <w:szCs w:val="21"/>
              </w:rPr>
              <w:t>交货时间</w:t>
            </w:r>
          </w:p>
        </w:tc>
        <w:tc>
          <w:tcPr>
            <w:tcW w:w="5656" w:type="dxa"/>
            <w:noWrap w:val="0"/>
            <w:vAlign w:val="center"/>
          </w:tcPr>
          <w:p>
            <w:pPr>
              <w:pStyle w:val="16"/>
              <w:jc w:val="both"/>
              <w:rPr>
                <w:rFonts w:ascii="宋体" w:hAnsi="宋体" w:cs="宋体"/>
                <w:sz w:val="21"/>
                <w:szCs w:val="21"/>
                <w:lang w:eastAsia="zh-CN"/>
              </w:rPr>
            </w:pPr>
            <w:r>
              <w:rPr>
                <w:rFonts w:ascii="宋体" w:hAnsi="宋体" w:cs="宋体"/>
                <w:sz w:val="21"/>
                <w:szCs w:val="21"/>
                <w:lang w:eastAsia="zh-CN"/>
              </w:rPr>
              <w:t>施工工期</w:t>
            </w:r>
            <w:r>
              <w:rPr>
                <w:rFonts w:hint="eastAsia" w:ascii="宋体" w:hAnsi="宋体" w:cs="宋体"/>
                <w:sz w:val="21"/>
                <w:szCs w:val="21"/>
                <w:lang w:val="en-US" w:eastAsia="zh-CN"/>
              </w:rPr>
              <w:t>4</w:t>
            </w:r>
            <w:r>
              <w:rPr>
                <w:rFonts w:ascii="宋体" w:hAnsi="宋体" w:cs="宋体"/>
                <w:sz w:val="21"/>
                <w:szCs w:val="21"/>
                <w:lang w:eastAsia="zh-CN"/>
              </w:rPr>
              <w:t>0天</w:t>
            </w:r>
            <w: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3" w:type="dxa"/>
            <w:noWrap w:val="0"/>
            <w:vAlign w:val="center"/>
          </w:tcPr>
          <w:p>
            <w:pPr>
              <w:pStyle w:val="16"/>
              <w:jc w:val="center"/>
              <w:rPr>
                <w:rFonts w:ascii="宋体" w:hAnsi="宋体" w:cs="宋体"/>
                <w:sz w:val="21"/>
                <w:szCs w:val="21"/>
              </w:rPr>
            </w:pPr>
            <w:r>
              <w:rPr>
                <w:rFonts w:ascii="宋体" w:hAnsi="宋体" w:cs="宋体"/>
                <w:sz w:val="21"/>
                <w:szCs w:val="21"/>
              </w:rPr>
              <w:t>2</w:t>
            </w:r>
          </w:p>
        </w:tc>
        <w:tc>
          <w:tcPr>
            <w:tcW w:w="1200" w:type="dxa"/>
            <w:noWrap w:val="0"/>
            <w:vAlign w:val="center"/>
          </w:tcPr>
          <w:p>
            <w:pPr>
              <w:pStyle w:val="16"/>
              <w:jc w:val="center"/>
              <w:rPr>
                <w:rFonts w:ascii="宋体" w:hAnsi="宋体" w:cs="宋体"/>
                <w:sz w:val="21"/>
                <w:szCs w:val="21"/>
              </w:rPr>
            </w:pPr>
            <w:r>
              <w:rPr>
                <w:rFonts w:ascii="宋体" w:hAnsi="宋体" w:cs="宋体"/>
                <w:sz w:val="21"/>
                <w:szCs w:val="21"/>
              </w:rPr>
              <w:t>★</w:t>
            </w:r>
          </w:p>
        </w:tc>
        <w:tc>
          <w:tcPr>
            <w:tcW w:w="1561" w:type="dxa"/>
            <w:noWrap w:val="0"/>
            <w:vAlign w:val="center"/>
          </w:tcPr>
          <w:p>
            <w:pPr>
              <w:pStyle w:val="16"/>
              <w:jc w:val="center"/>
              <w:rPr>
                <w:rFonts w:ascii="宋体" w:hAnsi="宋体" w:cs="宋体"/>
                <w:sz w:val="21"/>
                <w:szCs w:val="21"/>
              </w:rPr>
            </w:pPr>
            <w:r>
              <w:rPr>
                <w:rFonts w:ascii="宋体" w:hAnsi="宋体" w:cs="宋体"/>
                <w:sz w:val="21"/>
                <w:szCs w:val="21"/>
              </w:rPr>
              <w:t>交货地点</w:t>
            </w:r>
          </w:p>
        </w:tc>
        <w:tc>
          <w:tcPr>
            <w:tcW w:w="5656" w:type="dxa"/>
            <w:noWrap w:val="0"/>
            <w:vAlign w:val="center"/>
          </w:tcPr>
          <w:p>
            <w:pPr>
              <w:pStyle w:val="16"/>
              <w:jc w:val="both"/>
              <w:rPr>
                <w:rFonts w:ascii="宋体" w:hAnsi="宋体" w:cs="宋体"/>
                <w:sz w:val="21"/>
                <w:szCs w:val="21"/>
                <w:lang w:eastAsia="zh-CN"/>
              </w:rPr>
            </w:pPr>
            <w:r>
              <w:rPr>
                <w:rFonts w:ascii="宋体" w:hAnsi="宋体" w:cs="宋体"/>
              </w:rPr>
              <w:t>采购人指定的地点。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3" w:type="dxa"/>
            <w:noWrap w:val="0"/>
            <w:vAlign w:val="center"/>
          </w:tcPr>
          <w:p>
            <w:pPr>
              <w:pStyle w:val="16"/>
              <w:jc w:val="center"/>
              <w:rPr>
                <w:rFonts w:ascii="宋体" w:hAnsi="宋体" w:cs="宋体"/>
                <w:sz w:val="21"/>
                <w:szCs w:val="21"/>
              </w:rPr>
            </w:pPr>
            <w:r>
              <w:rPr>
                <w:rFonts w:ascii="宋体" w:hAnsi="宋体" w:cs="宋体"/>
                <w:sz w:val="21"/>
                <w:szCs w:val="21"/>
              </w:rPr>
              <w:t>3</w:t>
            </w:r>
          </w:p>
        </w:tc>
        <w:tc>
          <w:tcPr>
            <w:tcW w:w="1200" w:type="dxa"/>
            <w:noWrap w:val="0"/>
            <w:vAlign w:val="center"/>
          </w:tcPr>
          <w:p>
            <w:pPr>
              <w:pStyle w:val="16"/>
              <w:jc w:val="center"/>
              <w:rPr>
                <w:rFonts w:ascii="宋体" w:hAnsi="宋体" w:cs="宋体"/>
                <w:sz w:val="21"/>
                <w:szCs w:val="21"/>
              </w:rPr>
            </w:pPr>
            <w:r>
              <w:rPr>
                <w:rFonts w:ascii="宋体" w:hAnsi="宋体" w:cs="宋体"/>
                <w:sz w:val="21"/>
                <w:szCs w:val="21"/>
              </w:rPr>
              <w:t>★</w:t>
            </w:r>
          </w:p>
        </w:tc>
        <w:tc>
          <w:tcPr>
            <w:tcW w:w="1561" w:type="dxa"/>
            <w:noWrap w:val="0"/>
            <w:vAlign w:val="center"/>
          </w:tcPr>
          <w:p>
            <w:pPr>
              <w:pStyle w:val="16"/>
              <w:jc w:val="center"/>
              <w:rPr>
                <w:rFonts w:ascii="宋体" w:hAnsi="宋体" w:cs="宋体"/>
                <w:sz w:val="21"/>
                <w:szCs w:val="21"/>
              </w:rPr>
            </w:pPr>
            <w:r>
              <w:rPr>
                <w:rFonts w:ascii="宋体" w:hAnsi="宋体" w:cs="宋体"/>
                <w:sz w:val="21"/>
                <w:szCs w:val="21"/>
              </w:rPr>
              <w:t>交货条件</w:t>
            </w:r>
          </w:p>
        </w:tc>
        <w:tc>
          <w:tcPr>
            <w:tcW w:w="5656" w:type="dxa"/>
            <w:noWrap w:val="0"/>
            <w:vAlign w:val="center"/>
          </w:tcPr>
          <w:p>
            <w:pPr>
              <w:pStyle w:val="16"/>
              <w:jc w:val="both"/>
              <w:rPr>
                <w:rFonts w:ascii="宋体" w:hAnsi="宋体" w:cs="宋体"/>
                <w:sz w:val="21"/>
                <w:szCs w:val="21"/>
                <w:lang w:eastAsia="zh-CN"/>
              </w:rPr>
            </w:pPr>
            <w:r>
              <w:rPr>
                <w:rFonts w:ascii="宋体" w:hAnsi="宋体" w:cs="宋体"/>
                <w:sz w:val="21"/>
                <w:szCs w:val="21"/>
                <w:lang w:eastAsia="zh-CN"/>
              </w:rPr>
              <w:t>达到竣工验收合格。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3" w:type="dxa"/>
            <w:noWrap w:val="0"/>
            <w:vAlign w:val="center"/>
          </w:tcPr>
          <w:p>
            <w:pPr>
              <w:pStyle w:val="16"/>
              <w:jc w:val="center"/>
              <w:rPr>
                <w:rFonts w:ascii="宋体" w:hAnsi="宋体" w:cs="宋体"/>
                <w:sz w:val="21"/>
                <w:szCs w:val="21"/>
              </w:rPr>
            </w:pPr>
            <w:r>
              <w:rPr>
                <w:rFonts w:ascii="宋体" w:hAnsi="宋体" w:cs="宋体"/>
                <w:sz w:val="21"/>
                <w:szCs w:val="21"/>
              </w:rPr>
              <w:t>4</w:t>
            </w:r>
          </w:p>
        </w:tc>
        <w:tc>
          <w:tcPr>
            <w:tcW w:w="1200" w:type="dxa"/>
            <w:noWrap w:val="0"/>
            <w:vAlign w:val="center"/>
          </w:tcPr>
          <w:p>
            <w:pPr>
              <w:pStyle w:val="16"/>
              <w:jc w:val="center"/>
              <w:rPr>
                <w:rFonts w:ascii="宋体" w:hAnsi="宋体" w:cs="宋体"/>
                <w:sz w:val="21"/>
                <w:szCs w:val="21"/>
              </w:rPr>
            </w:pPr>
            <w:r>
              <w:rPr>
                <w:rFonts w:ascii="宋体" w:hAnsi="宋体" w:cs="宋体"/>
                <w:sz w:val="21"/>
                <w:szCs w:val="21"/>
              </w:rPr>
              <w:t>★</w:t>
            </w:r>
          </w:p>
        </w:tc>
        <w:tc>
          <w:tcPr>
            <w:tcW w:w="1561" w:type="dxa"/>
            <w:noWrap w:val="0"/>
            <w:vAlign w:val="center"/>
          </w:tcPr>
          <w:p>
            <w:pPr>
              <w:pStyle w:val="16"/>
              <w:jc w:val="center"/>
              <w:rPr>
                <w:rFonts w:ascii="宋体" w:hAnsi="宋体" w:cs="宋体"/>
                <w:sz w:val="21"/>
                <w:szCs w:val="21"/>
              </w:rPr>
            </w:pPr>
            <w:r>
              <w:rPr>
                <w:rFonts w:ascii="宋体" w:hAnsi="宋体" w:cs="宋体"/>
                <w:sz w:val="21"/>
                <w:szCs w:val="21"/>
              </w:rPr>
              <w:t>是否邀请供应商验收</w:t>
            </w:r>
          </w:p>
        </w:tc>
        <w:tc>
          <w:tcPr>
            <w:tcW w:w="5656" w:type="dxa"/>
            <w:noWrap w:val="0"/>
            <w:vAlign w:val="center"/>
          </w:tcPr>
          <w:p>
            <w:pPr>
              <w:pStyle w:val="16"/>
              <w:jc w:val="both"/>
              <w:rPr>
                <w:rFonts w:ascii="宋体" w:hAnsi="宋体" w:cs="宋体"/>
                <w:sz w:val="21"/>
                <w:szCs w:val="21"/>
              </w:rPr>
            </w:pPr>
            <w:r>
              <w:rPr>
                <w:rFonts w:ascii="宋体" w:hAnsi="宋体" w:cs="宋体"/>
                <w:sz w:val="21"/>
                <w:szCs w:val="21"/>
              </w:rPr>
              <w:t>不邀请供应商验收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3" w:type="dxa"/>
            <w:noWrap w:val="0"/>
            <w:vAlign w:val="center"/>
          </w:tcPr>
          <w:p>
            <w:pPr>
              <w:pStyle w:val="16"/>
              <w:jc w:val="center"/>
              <w:rPr>
                <w:rFonts w:ascii="宋体" w:hAnsi="宋体" w:cs="宋体"/>
                <w:sz w:val="21"/>
                <w:szCs w:val="21"/>
              </w:rPr>
            </w:pPr>
            <w:r>
              <w:rPr>
                <w:rFonts w:ascii="宋体" w:hAnsi="宋体" w:cs="宋体"/>
                <w:sz w:val="21"/>
                <w:szCs w:val="21"/>
              </w:rPr>
              <w:t>5</w:t>
            </w:r>
          </w:p>
        </w:tc>
        <w:tc>
          <w:tcPr>
            <w:tcW w:w="1200" w:type="dxa"/>
            <w:noWrap w:val="0"/>
            <w:vAlign w:val="center"/>
          </w:tcPr>
          <w:p>
            <w:pPr>
              <w:pStyle w:val="16"/>
              <w:jc w:val="center"/>
              <w:rPr>
                <w:rFonts w:ascii="宋体" w:hAnsi="宋体" w:cs="宋体"/>
                <w:sz w:val="21"/>
                <w:szCs w:val="21"/>
              </w:rPr>
            </w:pPr>
            <w:r>
              <w:rPr>
                <w:rFonts w:ascii="宋体" w:hAnsi="宋体" w:cs="宋体"/>
                <w:sz w:val="21"/>
                <w:szCs w:val="21"/>
              </w:rPr>
              <w:t>★</w:t>
            </w:r>
          </w:p>
        </w:tc>
        <w:tc>
          <w:tcPr>
            <w:tcW w:w="1561" w:type="dxa"/>
            <w:noWrap w:val="0"/>
            <w:vAlign w:val="center"/>
          </w:tcPr>
          <w:p>
            <w:pPr>
              <w:pStyle w:val="16"/>
              <w:jc w:val="center"/>
              <w:rPr>
                <w:rFonts w:ascii="宋体" w:hAnsi="宋体" w:cs="宋体"/>
                <w:sz w:val="21"/>
                <w:szCs w:val="21"/>
              </w:rPr>
            </w:pPr>
            <w:r>
              <w:rPr>
                <w:rFonts w:ascii="宋体" w:hAnsi="宋体" w:cs="宋体"/>
                <w:sz w:val="21"/>
                <w:szCs w:val="21"/>
              </w:rPr>
              <w:t>履约验收方式</w:t>
            </w:r>
          </w:p>
        </w:tc>
        <w:tc>
          <w:tcPr>
            <w:tcW w:w="5656" w:type="dxa"/>
            <w:noWrap w:val="0"/>
            <w:vAlign w:val="center"/>
          </w:tcPr>
          <w:p>
            <w:pPr>
              <w:pStyle w:val="16"/>
              <w:jc w:val="both"/>
              <w:rPr>
                <w:rFonts w:ascii="宋体" w:hAnsi="宋体" w:cs="宋体"/>
                <w:sz w:val="21"/>
                <w:szCs w:val="21"/>
              </w:rPr>
            </w:pPr>
            <w:r>
              <w:rPr>
                <w:rFonts w:ascii="宋体" w:hAnsi="宋体" w:cs="宋体"/>
                <w:sz w:val="21"/>
                <w:szCs w:val="21"/>
              </w:rPr>
              <w:t>按照设计图纸及相关技术标准说明</w:t>
            </w:r>
            <w:r>
              <w:rPr>
                <w:rFonts w:ascii="宋体" w:hAnsi="宋体" w:cs="宋体"/>
                <w:sz w:val="21"/>
                <w:szCs w:val="21"/>
                <w:lang w:eastAsia="zh-CN"/>
              </w:rPr>
              <w:t>、</w:t>
            </w:r>
            <w:r>
              <w:rPr>
                <w:rFonts w:ascii="宋体" w:hAnsi="宋体" w:cs="宋体"/>
                <w:sz w:val="21"/>
                <w:szCs w:val="21"/>
              </w:rPr>
              <w:t>国家有关的质量标准进行验收。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3" w:type="dxa"/>
            <w:noWrap w:val="0"/>
            <w:vAlign w:val="center"/>
          </w:tcPr>
          <w:p>
            <w:pPr>
              <w:pStyle w:val="16"/>
              <w:jc w:val="center"/>
              <w:rPr>
                <w:rFonts w:ascii="宋体" w:hAnsi="宋体" w:cs="宋体"/>
                <w:sz w:val="21"/>
                <w:szCs w:val="21"/>
              </w:rPr>
            </w:pPr>
            <w:r>
              <w:rPr>
                <w:rFonts w:ascii="宋体" w:hAnsi="宋体" w:cs="宋体"/>
                <w:sz w:val="21"/>
                <w:szCs w:val="21"/>
              </w:rPr>
              <w:t>6</w:t>
            </w:r>
          </w:p>
        </w:tc>
        <w:tc>
          <w:tcPr>
            <w:tcW w:w="1200" w:type="dxa"/>
            <w:noWrap w:val="0"/>
            <w:vAlign w:val="center"/>
          </w:tcPr>
          <w:p>
            <w:pPr>
              <w:pStyle w:val="16"/>
              <w:jc w:val="center"/>
              <w:rPr>
                <w:rFonts w:ascii="宋体" w:hAnsi="宋体" w:cs="宋体"/>
                <w:sz w:val="21"/>
                <w:szCs w:val="21"/>
              </w:rPr>
            </w:pPr>
            <w:r>
              <w:rPr>
                <w:rFonts w:ascii="宋体" w:hAnsi="宋体" w:cs="宋体"/>
                <w:sz w:val="21"/>
                <w:szCs w:val="21"/>
              </w:rPr>
              <w:t>★</w:t>
            </w:r>
          </w:p>
        </w:tc>
        <w:tc>
          <w:tcPr>
            <w:tcW w:w="1561" w:type="dxa"/>
            <w:noWrap w:val="0"/>
            <w:vAlign w:val="center"/>
          </w:tcPr>
          <w:p>
            <w:pPr>
              <w:pStyle w:val="16"/>
              <w:jc w:val="center"/>
              <w:rPr>
                <w:rFonts w:ascii="宋体" w:hAnsi="宋体" w:cs="宋体"/>
                <w:sz w:val="21"/>
                <w:szCs w:val="21"/>
              </w:rPr>
            </w:pPr>
            <w:r>
              <w:rPr>
                <w:rFonts w:ascii="宋体" w:hAnsi="宋体" w:cs="宋体"/>
                <w:sz w:val="21"/>
                <w:szCs w:val="21"/>
              </w:rPr>
              <w:t>合同支付方式</w:t>
            </w:r>
          </w:p>
        </w:tc>
        <w:tc>
          <w:tcPr>
            <w:tcW w:w="5656" w:type="dxa"/>
            <w:noWrap w:val="0"/>
            <w:vAlign w:val="center"/>
          </w:tcPr>
          <w:p>
            <w:pPr>
              <w:pStyle w:val="16"/>
              <w:jc w:val="both"/>
              <w:rPr>
                <w:rFonts w:ascii="宋体" w:hAnsi="宋体" w:cs="宋体"/>
                <w:sz w:val="21"/>
                <w:szCs w:val="21"/>
                <w:lang w:eastAsia="zh-CN"/>
              </w:rPr>
            </w:pPr>
            <w:r>
              <w:rPr>
                <w:rFonts w:ascii="宋体" w:hAnsi="宋体" w:cs="宋体"/>
                <w:sz w:val="21"/>
                <w:szCs w:val="21"/>
                <w:lang w:eastAsia="zh-CN"/>
              </w:rPr>
              <w:t>工程完成结算按规定进行评审后，成交供应商办理完成手续提供正规发票，并经有关审计部门审核批准后，发包人支付至审核价的97%（扣减违约金除外）。</w:t>
            </w:r>
          </w:p>
          <w:p>
            <w:pPr>
              <w:pStyle w:val="16"/>
              <w:jc w:val="both"/>
              <w:rPr>
                <w:rFonts w:ascii="宋体" w:hAnsi="宋体" w:cs="宋体"/>
                <w:sz w:val="21"/>
                <w:szCs w:val="21"/>
                <w:lang w:eastAsia="zh-CN"/>
              </w:rPr>
            </w:pPr>
            <w:r>
              <w:rPr>
                <w:rFonts w:ascii="宋体" w:hAnsi="宋体" w:cs="宋体"/>
                <w:sz w:val="21"/>
                <w:szCs w:val="21"/>
                <w:lang w:eastAsia="zh-CN"/>
              </w:rPr>
              <w:t>工程竣工验收后预留结算价的3%作为质保金，以预留工程款的形式作为质保金，至质量保修期满一年后无工程质量问题予以退还（不计息）。</w:t>
            </w:r>
          </w:p>
        </w:tc>
      </w:tr>
    </w:tbl>
    <w:p>
      <w:pPr>
        <w:pStyle w:val="11"/>
        <w:widowControl/>
        <w:spacing w:before="75" w:beforeAutospacing="0" w:after="75" w:afterAutospacing="0" w:line="400" w:lineRule="exact"/>
        <w:ind w:firstLine="480" w:firstLineChars="200"/>
        <w:rPr>
          <w:rFonts w:hint="eastAsia" w:ascii="宋体" w:hAnsi="宋体" w:cs="宋体"/>
          <w:color w:val="000000"/>
        </w:rPr>
      </w:pPr>
      <w:r>
        <w:rPr>
          <w:rFonts w:hint="eastAsia" w:ascii="宋体" w:hAnsi="宋体" w:cs="宋体"/>
          <w:color w:val="000000"/>
        </w:rPr>
        <w:t>8、违约责任</w:t>
      </w:r>
    </w:p>
    <w:p>
      <w:pPr>
        <w:pStyle w:val="11"/>
        <w:widowControl/>
        <w:spacing w:before="75" w:beforeAutospacing="0" w:after="75" w:afterAutospacing="0" w:line="400" w:lineRule="exact"/>
        <w:ind w:firstLine="480" w:firstLineChars="200"/>
        <w:rPr>
          <w:rFonts w:hint="eastAsia" w:ascii="宋体" w:hAnsi="宋体" w:cs="宋体"/>
          <w:color w:val="000000"/>
        </w:rPr>
      </w:pPr>
      <w:r>
        <w:rPr>
          <w:rFonts w:hint="eastAsia" w:ascii="宋体" w:hAnsi="宋体" w:cs="宋体"/>
          <w:color w:val="000000"/>
        </w:rPr>
        <w:t>8.1、因成交供应商原因造成采购合同无法按时签订，视为成交供应商违约，采购人有权终止合同并且成交供应商须支付成交金额的30%作为赔偿，并不予退还投标保证金。</w:t>
      </w:r>
    </w:p>
    <w:p>
      <w:pPr>
        <w:pStyle w:val="11"/>
        <w:widowControl/>
        <w:spacing w:before="75" w:beforeAutospacing="0" w:after="75" w:afterAutospacing="0" w:line="400" w:lineRule="exact"/>
        <w:ind w:firstLine="480" w:firstLineChars="200"/>
        <w:rPr>
          <w:rFonts w:hint="eastAsia" w:ascii="宋体" w:hAnsi="宋体" w:cs="宋体"/>
          <w:color w:val="000000"/>
        </w:rPr>
      </w:pPr>
      <w:r>
        <w:rPr>
          <w:rFonts w:hint="eastAsia" w:ascii="宋体" w:hAnsi="宋体" w:cs="宋体"/>
          <w:color w:val="000000"/>
        </w:rPr>
        <w:t>8.2、成交供应商应承担因其违约行为而增加的费用和（或）延误的工期 。</w:t>
      </w:r>
    </w:p>
    <w:p>
      <w:pPr>
        <w:pStyle w:val="11"/>
        <w:widowControl/>
        <w:spacing w:before="75" w:beforeAutospacing="0" w:after="75" w:afterAutospacing="0" w:line="400" w:lineRule="exact"/>
        <w:ind w:firstLine="480" w:firstLineChars="200"/>
        <w:rPr>
          <w:rFonts w:hint="eastAsia" w:ascii="宋体" w:hAnsi="宋体" w:cs="宋体"/>
          <w:color w:val="000000"/>
        </w:rPr>
      </w:pPr>
      <w:r>
        <w:rPr>
          <w:rFonts w:hint="eastAsia" w:ascii="宋体" w:hAnsi="宋体" w:cs="宋体"/>
          <w:color w:val="000000"/>
        </w:rPr>
        <w:t>8.3、成交供应商随意更换或发现转包挂靠嫌疑的，或成交供应商将成交项目转让给他人的，或将成交项目肢解后分别转让给他人的，或违法将成交项目的部分主体、关键性工作分包给他人的，一经核实，取消成交资格或中止合同，其转让、分包无效由此产生的责任和损失均由成交供应商负责，采购人有权向成交供应商索赔。</w:t>
      </w:r>
    </w:p>
    <w:p>
      <w:pPr>
        <w:pStyle w:val="11"/>
        <w:widowControl/>
        <w:spacing w:before="75" w:beforeAutospacing="0" w:after="75" w:afterAutospacing="0" w:line="400" w:lineRule="exact"/>
        <w:ind w:firstLine="480" w:firstLineChars="200"/>
        <w:rPr>
          <w:rFonts w:hint="eastAsia" w:ascii="宋体" w:hAnsi="宋体" w:cs="宋体"/>
          <w:color w:val="000000"/>
        </w:rPr>
      </w:pPr>
      <w:r>
        <w:rPr>
          <w:rFonts w:hint="eastAsia" w:ascii="宋体" w:hAnsi="宋体" w:cs="宋体"/>
          <w:color w:val="000000"/>
        </w:rPr>
        <w:t>8.4、逾期竣工违约金的计算方法：总工期每延误一天成交供应商应向采购人支付违约金为5000元/天，逾期竣工违约金由采购人直接从工程款中扣抵，违约金限额为合同价款的10%，违约金超过10%的，采购人有权单方解除合同，由此产生的一切损失及后果由成交供应商自行承担；如确因采购人原因或不可抗力的原因造成停工影响工期的，由采购人和监理单位确认后可免予支付，成交供应商不得再据此提出经济上的索赔。</w:t>
      </w:r>
    </w:p>
    <w:p>
      <w:pPr>
        <w:pStyle w:val="11"/>
        <w:widowControl/>
        <w:spacing w:before="75" w:beforeAutospacing="0" w:after="75" w:afterAutospacing="0" w:line="400" w:lineRule="exact"/>
        <w:ind w:firstLine="480" w:firstLineChars="200"/>
        <w:rPr>
          <w:rFonts w:hint="eastAsia" w:ascii="宋体" w:hAnsi="宋体" w:cs="宋体"/>
          <w:color w:val="000000"/>
        </w:rPr>
      </w:pPr>
      <w:r>
        <w:rPr>
          <w:rFonts w:hint="eastAsia" w:ascii="宋体" w:hAnsi="宋体" w:cs="宋体"/>
          <w:color w:val="000000"/>
        </w:rPr>
        <w:t>8.5、因成交供应商不按施工设计图纸施工、违反施工规范进行施工或建筑材料设备、施工工艺不合格等产生的工程质量问题而引起的返工、补救、整改或重建，其全部责任和费用以及赔偿均由成交供应商自行承担。工程竣工验收时未能达到合格标准的，成交供应商承担违约责任。成交供应商除了应当按照有关要求整改，使其达到合格标准，还应按工程合同总价5%向采购人支付违约赔偿金，由采购人直接从工程款中抵扣。</w:t>
      </w:r>
    </w:p>
    <w:p>
      <w:pPr>
        <w:pStyle w:val="11"/>
        <w:widowControl/>
        <w:spacing w:before="75" w:beforeAutospacing="0" w:after="75" w:afterAutospacing="0" w:line="400" w:lineRule="exact"/>
        <w:ind w:firstLine="480" w:firstLineChars="200"/>
        <w:rPr>
          <w:rFonts w:hint="eastAsia" w:ascii="宋体" w:hAnsi="宋体" w:cs="宋体"/>
          <w:color w:val="000000"/>
        </w:rPr>
      </w:pPr>
      <w:r>
        <w:rPr>
          <w:rFonts w:hint="eastAsia" w:ascii="宋体" w:hAnsi="宋体" w:cs="宋体"/>
          <w:color w:val="000000"/>
        </w:rPr>
        <w:t>8.6、在签定采购合同之后，成交供应商无法及时提供服务或要求解除合同的，视为成交供应商违约，采购人有权终止合同并且成交供应商须支付成交金额的30%作为赔偿，并不予退还投标保证金。</w:t>
      </w:r>
    </w:p>
    <w:p>
      <w:pPr>
        <w:pStyle w:val="11"/>
        <w:widowControl/>
        <w:spacing w:before="75" w:beforeAutospacing="0" w:after="75" w:afterAutospacing="0" w:line="400" w:lineRule="exact"/>
        <w:ind w:firstLine="480" w:firstLineChars="200"/>
        <w:rPr>
          <w:rFonts w:hint="eastAsia" w:ascii="宋体" w:hAnsi="宋体" w:cs="宋体"/>
          <w:color w:val="000000"/>
        </w:rPr>
      </w:pPr>
      <w:r>
        <w:rPr>
          <w:rFonts w:hint="eastAsia" w:ascii="宋体" w:hAnsi="宋体" w:cs="宋体"/>
          <w:color w:val="000000"/>
        </w:rPr>
        <w:t>8.7、因成交供应商原因发生重大质量事故，除依约承担赔偿责任外，还将按有关质量管理办法规定执行。同时，采购人有权保留更换成交供应商的权利，并报相关行政主管部门处罚。</w:t>
      </w:r>
    </w:p>
    <w:p>
      <w:pPr>
        <w:pStyle w:val="11"/>
        <w:widowControl/>
        <w:spacing w:before="75" w:beforeAutospacing="0" w:after="75" w:afterAutospacing="0" w:line="400" w:lineRule="exact"/>
        <w:ind w:firstLine="480" w:firstLineChars="200"/>
        <w:rPr>
          <w:rFonts w:hint="eastAsia" w:ascii="宋体" w:hAnsi="宋体" w:cs="宋体"/>
          <w:color w:val="000000"/>
        </w:rPr>
      </w:pPr>
      <w:r>
        <w:rPr>
          <w:rFonts w:hint="eastAsia" w:ascii="宋体" w:hAnsi="宋体" w:cs="宋体"/>
          <w:color w:val="000000"/>
        </w:rPr>
        <w:t>8.8、若在施工期间发生伤亡等安全事故，采购人不承担责任，所有责任由成交供应商承担，同时采购人有权终止合同，给采购人造成的损失，还应承担赔偿责任。</w:t>
      </w:r>
    </w:p>
    <w:p>
      <w:pPr>
        <w:pStyle w:val="11"/>
        <w:widowControl/>
        <w:spacing w:before="75" w:beforeAutospacing="0" w:after="75" w:afterAutospacing="0" w:line="400" w:lineRule="exact"/>
        <w:ind w:firstLine="480" w:firstLineChars="200"/>
        <w:rPr>
          <w:rFonts w:hint="eastAsia" w:ascii="宋体" w:hAnsi="宋体" w:cs="宋体"/>
          <w:color w:val="000000"/>
        </w:rPr>
      </w:pPr>
      <w:r>
        <w:rPr>
          <w:rFonts w:hint="eastAsia" w:ascii="宋体" w:hAnsi="宋体" w:cs="宋体"/>
          <w:color w:val="000000"/>
        </w:rPr>
        <w:t>8.9、在明确违约责任后，成交供应商应在接到书面通知书起七天内支付违约金、赔偿金等。所有赔偿金、违约金采购人可以直接从未付款项中予以扣除，不足部分，由成交供应商予以补足。</w:t>
      </w:r>
    </w:p>
    <w:p>
      <w:pPr>
        <w:pStyle w:val="16"/>
        <w:spacing w:line="360" w:lineRule="auto"/>
        <w:jc w:val="both"/>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四、其他事项</w:t>
      </w:r>
    </w:p>
    <w:p>
      <w:pPr>
        <w:pStyle w:val="16"/>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1、除招标文件另有规定外，若出现有关法律、法规和规章有强制性规定但招标文件未列明的情形，则投标人应按照有关法律、法规和规章强制性规定执行。</w:t>
      </w:r>
    </w:p>
    <w:p>
      <w:pPr>
        <w:pStyle w:val="16"/>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2、其他：</w:t>
      </w:r>
    </w:p>
    <w:p>
      <w:pPr>
        <w:pStyle w:val="11"/>
        <w:widowControl/>
        <w:shd w:val="clear" w:color="auto" w:fill="FFFFFF"/>
        <w:spacing w:before="0" w:beforeAutospacing="0" w:after="150" w:afterAutospacing="0" w:line="360" w:lineRule="auto"/>
        <w:ind w:firstLine="480" w:firstLineChars="200"/>
        <w:rPr>
          <w:rFonts w:hint="eastAsia" w:ascii="宋体" w:hAnsi="宋体" w:eastAsia="宋体" w:cs="宋体"/>
          <w:color w:val="auto"/>
          <w:kern w:val="0"/>
          <w:sz w:val="24"/>
          <w:szCs w:val="24"/>
          <w:highlight w:val="none"/>
          <w:lang w:val="en-US" w:eastAsia="zh-Hans" w:bidi="ar-SA"/>
        </w:rPr>
      </w:pPr>
      <w:r>
        <w:rPr>
          <w:rFonts w:hint="eastAsia" w:ascii="宋体" w:hAnsi="宋体" w:eastAsia="宋体" w:cs="宋体"/>
          <w:color w:val="auto"/>
          <w:kern w:val="0"/>
          <w:sz w:val="24"/>
          <w:szCs w:val="24"/>
          <w:highlight w:val="none"/>
          <w:lang w:val="en-US" w:eastAsia="zh-Hans" w:bidi="ar-SA"/>
        </w:rPr>
        <w:t>（1）</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Hans" w:bidi="ar-SA"/>
        </w:rPr>
        <w:t xml:space="preserve">本项目不允许中标人以任何名义和理由进行转包，如有发现，采购人有权单方终止合同，视为中标人违约；中标人违约对采购人造成的损失的，需另行支付相应的赔偿。 </w:t>
      </w:r>
    </w:p>
    <w:p>
      <w:pPr>
        <w:pStyle w:val="11"/>
        <w:widowControl/>
        <w:shd w:val="clear" w:color="auto" w:fill="FFFFFF"/>
        <w:spacing w:before="0" w:beforeAutospacing="0" w:after="150" w:afterAutospacing="0" w:line="360" w:lineRule="auto"/>
        <w:ind w:firstLine="480" w:firstLineChars="200"/>
        <w:rPr>
          <w:rFonts w:hint="eastAsia" w:ascii="宋体" w:hAnsi="宋体" w:eastAsia="宋体" w:cs="宋体"/>
          <w:color w:val="auto"/>
          <w:kern w:val="0"/>
          <w:sz w:val="24"/>
          <w:szCs w:val="24"/>
          <w:highlight w:val="none"/>
          <w:lang w:val="en-US" w:eastAsia="zh-Hans" w:bidi="ar-SA"/>
        </w:rPr>
      </w:pPr>
      <w:r>
        <w:rPr>
          <w:rFonts w:hint="eastAsia" w:ascii="宋体" w:hAnsi="宋体" w:eastAsia="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Hans" w:bidi="ar-SA"/>
        </w:rPr>
        <w:t>本招标文件未明确的其他约定事项或条款，待采购人与中标人签订合同时，由双方协商订立。</w:t>
      </w:r>
    </w:p>
    <w:p>
      <w:pPr>
        <w:pStyle w:val="11"/>
        <w:widowControl/>
        <w:shd w:val="clear" w:color="auto" w:fill="FFFFFF"/>
        <w:spacing w:before="0" w:beforeAutospacing="0" w:after="150" w:afterAutospacing="0" w:line="360" w:lineRule="auto"/>
        <w:rPr>
          <w:color w:val="auto"/>
          <w:highlight w:val="none"/>
        </w:rPr>
      </w:pPr>
      <w:r>
        <w:rPr>
          <w:rFonts w:hint="eastAsia" w:ascii="宋体" w:hAnsi="宋体" w:eastAsia="宋体" w:cs="宋体"/>
          <w:color w:val="auto"/>
          <w:kern w:val="0"/>
          <w:sz w:val="24"/>
          <w:szCs w:val="24"/>
          <w:highlight w:val="none"/>
          <w:lang w:val="en-US" w:eastAsia="zh-Hans" w:bidi="ar-SA"/>
        </w:rPr>
        <w:br w:type="page"/>
      </w:r>
      <w:r>
        <w:rPr>
          <w:rStyle w:val="15"/>
          <w:rFonts w:hint="eastAsia" w:ascii="宋体" w:hAnsi="宋体" w:cs="宋体"/>
          <w:bCs/>
          <w:color w:val="auto"/>
          <w:highlight w:val="none"/>
          <w:shd w:val="clear" w:color="auto" w:fill="FFFFFF"/>
        </w:rPr>
        <w:t>附件1：最后报价一览表</w:t>
      </w:r>
    </w:p>
    <w:p>
      <w:pPr>
        <w:pStyle w:val="11"/>
        <w:widowControl/>
        <w:shd w:val="clear" w:color="auto" w:fill="FFFFFF"/>
        <w:spacing w:before="0" w:beforeAutospacing="0" w:after="150" w:afterAutospacing="0" w:line="360" w:lineRule="atLeast"/>
        <w:rPr>
          <w:color w:val="auto"/>
          <w:highlight w:val="none"/>
          <w:u w:val="single"/>
        </w:rPr>
      </w:pPr>
      <w:r>
        <w:rPr>
          <w:rFonts w:hint="eastAsia" w:ascii="宋体" w:hAnsi="宋体" w:cs="宋体"/>
          <w:color w:val="auto"/>
          <w:highlight w:val="none"/>
          <w:shd w:val="clear" w:color="auto" w:fill="FFFFFF"/>
        </w:rPr>
        <w:t>供应商名称：</w:t>
      </w:r>
      <w:r>
        <w:rPr>
          <w:rFonts w:hint="eastAsia" w:ascii="宋体" w:hAnsi="宋体" w:cs="宋体"/>
          <w:color w:val="auto"/>
          <w:highlight w:val="none"/>
          <w:u w:val="single"/>
          <w:shd w:val="clear" w:color="auto" w:fill="FFFFFF"/>
        </w:rPr>
        <w:t>    （全称加盖单位公章）</w:t>
      </w:r>
    </w:p>
    <w:p>
      <w:pPr>
        <w:pStyle w:val="11"/>
        <w:widowControl/>
        <w:shd w:val="clear" w:color="auto" w:fill="FFFFFF"/>
        <w:spacing w:before="0" w:beforeAutospacing="0" w:after="150" w:afterAutospacing="0" w:line="360" w:lineRule="atLeast"/>
        <w:rPr>
          <w:color w:val="auto"/>
          <w:highlight w:val="none"/>
          <w:u w:val="single"/>
        </w:rPr>
      </w:pPr>
      <w:r>
        <w:rPr>
          <w:rFonts w:hint="eastAsia" w:ascii="宋体" w:hAnsi="宋体" w:cs="宋体"/>
          <w:color w:val="auto"/>
          <w:highlight w:val="none"/>
          <w:shd w:val="clear" w:color="auto" w:fill="FFFFFF"/>
        </w:rPr>
        <w:t>项目编号：</w:t>
      </w:r>
      <w:r>
        <w:rPr>
          <w:rFonts w:hint="eastAsia" w:ascii="宋体" w:hAnsi="宋体" w:cs="宋体"/>
          <w:color w:val="auto"/>
          <w:highlight w:val="none"/>
          <w:u w:val="single"/>
          <w:shd w:val="clear" w:color="auto" w:fill="FFFFFF"/>
        </w:rPr>
        <w:t xml:space="preserve">                              </w:t>
      </w:r>
    </w:p>
    <w:p>
      <w:pPr>
        <w:pStyle w:val="11"/>
        <w:widowControl/>
        <w:shd w:val="clear" w:color="auto" w:fill="FFFFFF"/>
        <w:spacing w:before="0" w:beforeAutospacing="0" w:after="150" w:afterAutospacing="0" w:line="360" w:lineRule="atLeast"/>
        <w:rPr>
          <w:color w:val="auto"/>
          <w:highlight w:val="none"/>
          <w:u w:val="single"/>
        </w:rPr>
      </w:pPr>
      <w:r>
        <w:rPr>
          <w:rFonts w:hint="eastAsia" w:ascii="宋体" w:hAnsi="宋体" w:cs="宋体"/>
          <w:color w:val="auto"/>
          <w:highlight w:val="none"/>
          <w:shd w:val="clear" w:color="auto" w:fill="FFFFFF"/>
        </w:rPr>
        <w:t>货币单位：</w:t>
      </w:r>
      <w:r>
        <w:rPr>
          <w:rFonts w:hint="eastAsia" w:ascii="宋体" w:hAnsi="宋体" w:cs="宋体"/>
          <w:color w:val="auto"/>
          <w:highlight w:val="none"/>
          <w:u w:val="single"/>
          <w:shd w:val="clear" w:color="auto" w:fill="FFFFFF"/>
        </w:rPr>
        <w:t>        元人民币</w:t>
      </w:r>
    </w:p>
    <w:tbl>
      <w:tblPr>
        <w:tblStyle w:val="13"/>
        <w:tblW w:w="9198" w:type="dxa"/>
        <w:jc w:val="center"/>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1150"/>
        <w:gridCol w:w="1733"/>
        <w:gridCol w:w="3530"/>
        <w:gridCol w:w="2785"/>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759" w:hRule="atLeast"/>
          <w:jc w:val="center"/>
        </w:trPr>
        <w:tc>
          <w:tcPr>
            <w:tcW w:w="1150"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1"/>
              <w:widowControl/>
              <w:spacing w:before="0" w:beforeAutospacing="0" w:after="150" w:afterAutospacing="0" w:line="300" w:lineRule="atLeast"/>
              <w:jc w:val="center"/>
              <w:rPr>
                <w:color w:val="auto"/>
                <w:highlight w:val="none"/>
              </w:rPr>
            </w:pPr>
            <w:r>
              <w:rPr>
                <w:rStyle w:val="15"/>
                <w:rFonts w:hint="eastAsia" w:ascii="宋体" w:hAnsi="宋体" w:cs="宋体"/>
                <w:bCs/>
                <w:color w:val="auto"/>
                <w:highlight w:val="none"/>
              </w:rPr>
              <w:t>合同包</w:t>
            </w:r>
          </w:p>
        </w:tc>
        <w:tc>
          <w:tcPr>
            <w:tcW w:w="1733"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1"/>
              <w:widowControl/>
              <w:spacing w:before="0" w:beforeAutospacing="0" w:after="150" w:afterAutospacing="0"/>
              <w:jc w:val="center"/>
              <w:rPr>
                <w:color w:val="auto"/>
                <w:highlight w:val="none"/>
              </w:rPr>
            </w:pPr>
            <w:r>
              <w:rPr>
                <w:rStyle w:val="15"/>
                <w:rFonts w:hint="eastAsia" w:ascii="宋体" w:hAnsi="宋体" w:cs="宋体"/>
                <w:bCs/>
                <w:color w:val="auto"/>
                <w:highlight w:val="none"/>
              </w:rPr>
              <w:t>品目号</w:t>
            </w:r>
          </w:p>
        </w:tc>
        <w:tc>
          <w:tcPr>
            <w:tcW w:w="3530"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1"/>
              <w:widowControl/>
              <w:spacing w:before="0" w:beforeAutospacing="0" w:after="150" w:afterAutospacing="0"/>
              <w:jc w:val="center"/>
              <w:rPr>
                <w:color w:val="auto"/>
                <w:highlight w:val="none"/>
              </w:rPr>
            </w:pPr>
            <w:r>
              <w:rPr>
                <w:rStyle w:val="15"/>
                <w:rFonts w:hint="eastAsia" w:ascii="宋体" w:hAnsi="宋体" w:cs="宋体"/>
                <w:bCs/>
                <w:color w:val="auto"/>
                <w:highlight w:val="none"/>
              </w:rPr>
              <w:t>采购标的</w:t>
            </w:r>
          </w:p>
        </w:tc>
        <w:tc>
          <w:tcPr>
            <w:tcW w:w="2785"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1"/>
              <w:widowControl/>
              <w:spacing w:before="0" w:beforeAutospacing="0" w:after="150" w:afterAutospacing="0" w:line="300" w:lineRule="atLeast"/>
              <w:jc w:val="center"/>
              <w:rPr>
                <w:color w:val="auto"/>
                <w:highlight w:val="none"/>
              </w:rPr>
            </w:pPr>
            <w:r>
              <w:rPr>
                <w:rStyle w:val="15"/>
                <w:rFonts w:hint="eastAsia" w:ascii="宋体" w:hAnsi="宋体" w:cs="宋体"/>
                <w:bCs/>
                <w:color w:val="auto"/>
                <w:highlight w:val="none"/>
              </w:rPr>
              <w:t>交货期/工期/项目完成时间/服务时间</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664" w:hRule="atLeast"/>
          <w:jc w:val="center"/>
        </w:trPr>
        <w:tc>
          <w:tcPr>
            <w:tcW w:w="1150"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jc w:val="left"/>
              <w:rPr>
                <w:color w:val="auto"/>
                <w:highlight w:val="none"/>
              </w:rPr>
            </w:pPr>
          </w:p>
        </w:tc>
        <w:tc>
          <w:tcPr>
            <w:tcW w:w="1733"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jc w:val="left"/>
              <w:rPr>
                <w:color w:val="auto"/>
                <w:highlight w:val="none"/>
              </w:rPr>
            </w:pPr>
          </w:p>
        </w:tc>
        <w:tc>
          <w:tcPr>
            <w:tcW w:w="353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jc w:val="left"/>
              <w:rPr>
                <w:color w:val="auto"/>
                <w:highlight w:val="none"/>
              </w:rPr>
            </w:pPr>
          </w:p>
        </w:tc>
        <w:tc>
          <w:tcPr>
            <w:tcW w:w="278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widowControl/>
              <w:jc w:val="left"/>
              <w:rPr>
                <w:color w:val="auto"/>
                <w:highlight w:val="none"/>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1906" w:hRule="atLeast"/>
          <w:jc w:val="center"/>
        </w:trPr>
        <w:tc>
          <w:tcPr>
            <w:tcW w:w="9198" w:type="dxa"/>
            <w:gridSpan w:val="4"/>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11"/>
              <w:widowControl/>
              <w:spacing w:before="0" w:beforeAutospacing="0" w:after="150" w:afterAutospacing="0" w:line="300" w:lineRule="atLeast"/>
              <w:rPr>
                <w:color w:val="auto"/>
                <w:highlight w:val="none"/>
              </w:rPr>
            </w:pPr>
            <w:r>
              <w:rPr>
                <w:rFonts w:hint="eastAsia" w:ascii="宋体" w:hAnsi="宋体" w:cs="宋体"/>
                <w:color w:val="auto"/>
                <w:highlight w:val="none"/>
              </w:rPr>
              <w:t> </w:t>
            </w:r>
          </w:p>
          <w:p>
            <w:pPr>
              <w:pStyle w:val="11"/>
              <w:widowControl/>
              <w:spacing w:before="0" w:beforeAutospacing="0" w:after="150" w:afterAutospacing="0" w:line="300" w:lineRule="atLeast"/>
              <w:rPr>
                <w:color w:val="auto"/>
                <w:highlight w:val="none"/>
              </w:rPr>
            </w:pPr>
            <w:r>
              <w:rPr>
                <w:rFonts w:hint="eastAsia" w:ascii="宋体" w:hAnsi="宋体" w:cs="宋体"/>
                <w:color w:val="auto"/>
                <w:highlight w:val="none"/>
              </w:rPr>
              <w:t>报价（人民币）：小写</w:t>
            </w:r>
            <w:r>
              <w:rPr>
                <w:rFonts w:hint="eastAsia" w:ascii="宋体" w:hAnsi="宋体" w:cs="宋体"/>
                <w:color w:val="auto"/>
                <w:highlight w:val="none"/>
                <w:u w:val="single"/>
              </w:rPr>
              <w:t>             </w:t>
            </w:r>
            <w:r>
              <w:rPr>
                <w:rFonts w:hint="eastAsia" w:ascii="宋体" w:hAnsi="宋体" w:cs="宋体"/>
                <w:color w:val="auto"/>
                <w:highlight w:val="none"/>
              </w:rPr>
              <w:t>元，大写：</w:t>
            </w:r>
            <w:r>
              <w:rPr>
                <w:rFonts w:hint="eastAsia" w:ascii="宋体" w:hAnsi="宋体" w:cs="宋体"/>
                <w:color w:val="auto"/>
                <w:highlight w:val="none"/>
                <w:u w:val="single"/>
              </w:rPr>
              <w:t>           </w:t>
            </w:r>
            <w:r>
              <w:rPr>
                <w:rFonts w:hint="eastAsia" w:ascii="宋体" w:hAnsi="宋体" w:cs="宋体"/>
                <w:color w:val="auto"/>
                <w:highlight w:val="none"/>
              </w:rPr>
              <w:t>元。</w:t>
            </w:r>
          </w:p>
        </w:tc>
      </w:tr>
    </w:tbl>
    <w:p>
      <w:pPr>
        <w:pStyle w:val="11"/>
        <w:widowControl/>
        <w:shd w:val="clear" w:color="auto" w:fill="FFFFFF"/>
        <w:spacing w:before="0" w:beforeAutospacing="0" w:after="0" w:afterAutospacing="0" w:line="400" w:lineRule="exact"/>
        <w:ind w:firstLine="480" w:firstLineChars="200"/>
        <w:rPr>
          <w:color w:val="auto"/>
          <w:highlight w:val="none"/>
        </w:rPr>
      </w:pPr>
      <w:r>
        <w:rPr>
          <w:rFonts w:hint="eastAsia" w:ascii="宋体" w:hAnsi="宋体" w:cs="宋体"/>
          <w:color w:val="auto"/>
          <w:highlight w:val="none"/>
          <w:shd w:val="clear" w:color="auto" w:fill="FFFFFF"/>
        </w:rPr>
        <w:t>备注：</w:t>
      </w:r>
      <w:r>
        <w:rPr>
          <w:rStyle w:val="15"/>
          <w:rFonts w:hint="eastAsia" w:ascii="宋体" w:hAnsi="宋体" w:cs="宋体"/>
          <w:bCs/>
          <w:color w:val="auto"/>
          <w:highlight w:val="none"/>
          <w:shd w:val="clear" w:color="auto" w:fill="FFFFFF"/>
        </w:rPr>
        <w:t>各供应商最后报价不得高于首次报价。未按规定进行报价的，按无效报价处理。</w:t>
      </w:r>
    </w:p>
    <w:p>
      <w:pPr>
        <w:pStyle w:val="11"/>
        <w:widowControl/>
        <w:shd w:val="clear" w:color="auto" w:fill="FFFFFF"/>
        <w:spacing w:before="0" w:beforeAutospacing="0" w:after="0" w:afterAutospacing="0" w:line="400" w:lineRule="exact"/>
        <w:ind w:firstLine="480" w:firstLineChars="200"/>
        <w:rPr>
          <w:color w:val="auto"/>
          <w:highlight w:val="none"/>
        </w:rPr>
      </w:pPr>
      <w:r>
        <w:rPr>
          <w:rFonts w:hint="eastAsia" w:ascii="宋体" w:hAnsi="宋体" w:cs="宋体"/>
          <w:color w:val="auto"/>
          <w:highlight w:val="none"/>
          <w:shd w:val="clear" w:color="auto" w:fill="FFFFFF"/>
        </w:rPr>
        <w:t> </w:t>
      </w:r>
    </w:p>
    <w:p>
      <w:pPr>
        <w:pStyle w:val="11"/>
        <w:widowControl/>
        <w:shd w:val="clear" w:color="auto" w:fill="FFFFFF"/>
        <w:spacing w:before="0" w:beforeAutospacing="0" w:after="0" w:afterAutospacing="0" w:line="400" w:lineRule="exact"/>
        <w:ind w:firstLine="480" w:firstLineChars="200"/>
        <w:rPr>
          <w:color w:val="auto"/>
          <w:highlight w:val="none"/>
          <w:u w:val="single"/>
        </w:rPr>
      </w:pPr>
      <w:r>
        <w:rPr>
          <w:rFonts w:hint="eastAsia" w:ascii="宋体" w:hAnsi="宋体" w:cs="宋体"/>
          <w:color w:val="auto"/>
          <w:highlight w:val="none"/>
          <w:shd w:val="clear" w:color="auto" w:fill="FFFFFF"/>
        </w:rPr>
        <w:t>供应商代表：</w:t>
      </w:r>
      <w:r>
        <w:rPr>
          <w:rFonts w:hint="eastAsia" w:ascii="宋体" w:hAnsi="宋体" w:cs="宋体"/>
          <w:color w:val="auto"/>
          <w:highlight w:val="none"/>
          <w:u w:val="single"/>
          <w:shd w:val="clear" w:color="auto" w:fill="FFFFFF"/>
        </w:rPr>
        <w:t>（签字）</w:t>
      </w:r>
    </w:p>
    <w:p>
      <w:pPr>
        <w:pStyle w:val="11"/>
        <w:widowControl/>
        <w:spacing w:before="75" w:beforeAutospacing="0" w:after="75" w:afterAutospacing="0" w:line="400" w:lineRule="exact"/>
        <w:ind w:firstLine="480" w:firstLineChars="200"/>
        <w:rPr>
          <w:rFonts w:hint="eastAsia"/>
          <w:color w:val="auto"/>
          <w:highlight w:val="none"/>
        </w:rPr>
      </w:pPr>
    </w:p>
    <w:p>
      <w:pPr>
        <w:pStyle w:val="2"/>
        <w:rPr>
          <w:color w:val="auto"/>
          <w:highlight w:val="none"/>
        </w:rPr>
      </w:pPr>
      <w:bookmarkStart w:id="6" w:name="_Toc8917"/>
      <w:bookmarkStart w:id="7" w:name="_Toc10211"/>
      <w:r>
        <w:rPr>
          <w:color w:val="auto"/>
          <w:highlight w:val="none"/>
        </w:rPr>
        <w:br w:type="page"/>
      </w:r>
      <w:r>
        <w:rPr>
          <w:color w:val="auto"/>
          <w:highlight w:val="none"/>
        </w:rPr>
        <w:t>第四章  合同主要条款及格式</w:t>
      </w:r>
      <w:bookmarkEnd w:id="6"/>
      <w:bookmarkEnd w:id="7"/>
    </w:p>
    <w:p>
      <w:pPr>
        <w:pStyle w:val="16"/>
        <w:jc w:val="center"/>
        <w:outlineLvl w:val="2"/>
        <w:rPr>
          <w:color w:val="auto"/>
          <w:highlight w:val="none"/>
        </w:rPr>
      </w:pPr>
      <w:bookmarkStart w:id="8" w:name="_Toc19101"/>
      <w:bookmarkStart w:id="9" w:name="_Toc14850"/>
      <w:r>
        <w:rPr>
          <w:b/>
          <w:color w:val="auto"/>
          <w:sz w:val="28"/>
          <w:highlight w:val="none"/>
        </w:rPr>
        <w:t>参考文本</w:t>
      </w:r>
    </w:p>
    <w:p>
      <w:pPr>
        <w:pStyle w:val="16"/>
        <w:rPr>
          <w:color w:val="auto"/>
          <w:highlight w:val="none"/>
        </w:rPr>
      </w:pPr>
      <w:r>
        <w:rPr>
          <w:color w:val="auto"/>
          <w:highlight w:val="none"/>
        </w:rPr>
        <w:t>合同编号：</w:t>
      </w:r>
    </w:p>
    <w:p>
      <w:pPr>
        <w:pStyle w:val="16"/>
        <w:jc w:val="center"/>
        <w:outlineLvl w:val="1"/>
        <w:rPr>
          <w:color w:val="auto"/>
          <w:highlight w:val="none"/>
        </w:rPr>
      </w:pPr>
      <w:r>
        <w:rPr>
          <w:b/>
          <w:color w:val="auto"/>
          <w:sz w:val="36"/>
          <w:highlight w:val="none"/>
        </w:rPr>
        <w:t xml:space="preserve"> 福建省政府采购合同（服务类）</w:t>
      </w:r>
    </w:p>
    <w:p>
      <w:pPr>
        <w:pStyle w:val="16"/>
        <w:jc w:val="center"/>
        <w:outlineLvl w:val="3"/>
        <w:rPr>
          <w:rFonts w:hint="eastAsia" w:eastAsia="宋体"/>
          <w:b/>
          <w:color w:val="auto"/>
          <w:sz w:val="21"/>
          <w:szCs w:val="21"/>
          <w:highlight w:val="none"/>
          <w:lang w:eastAsia="zh-CN"/>
        </w:rPr>
      </w:pPr>
      <w:r>
        <w:rPr>
          <w:b/>
          <w:color w:val="auto"/>
          <w:sz w:val="21"/>
          <w:szCs w:val="21"/>
          <w:highlight w:val="none"/>
        </w:rPr>
        <w:t>编制说明</w:t>
      </w:r>
    </w:p>
    <w:p>
      <w:pPr>
        <w:pStyle w:val="16"/>
        <w:jc w:val="center"/>
        <w:outlineLvl w:val="3"/>
        <w:rPr>
          <w:rFonts w:hint="eastAsia" w:eastAsia="宋体"/>
          <w:b/>
          <w:color w:val="auto"/>
          <w:sz w:val="21"/>
          <w:szCs w:val="21"/>
          <w:highlight w:val="none"/>
          <w:lang w:eastAsia="zh-CN"/>
        </w:rPr>
      </w:pPr>
    </w:p>
    <w:p>
      <w:pPr>
        <w:pStyle w:val="16"/>
        <w:outlineLvl w:val="3"/>
        <w:rPr>
          <w:color w:val="auto"/>
          <w:sz w:val="21"/>
          <w:szCs w:val="21"/>
          <w:highlight w:val="none"/>
        </w:rPr>
      </w:pPr>
      <w:r>
        <w:rPr>
          <w:b/>
          <w:color w:val="auto"/>
          <w:sz w:val="21"/>
          <w:szCs w:val="21"/>
          <w:highlight w:val="none"/>
        </w:rPr>
        <w:t xml:space="preserve"> 1.签订合同应遵守《中华人民共和国政府采购法》及其实施条例、《中华人民共和国民法典》等法律法规及其他有关规定。</w:t>
      </w:r>
    </w:p>
    <w:p>
      <w:pPr>
        <w:pStyle w:val="16"/>
        <w:outlineLvl w:val="3"/>
        <w:rPr>
          <w:color w:val="auto"/>
          <w:sz w:val="21"/>
          <w:szCs w:val="21"/>
          <w:highlight w:val="none"/>
        </w:rPr>
      </w:pPr>
      <w:r>
        <w:rPr>
          <w:b/>
          <w:color w:val="auto"/>
          <w:sz w:val="21"/>
          <w:szCs w:val="21"/>
          <w:highlight w:val="none"/>
        </w:rPr>
        <w:t xml:space="preserve"> 2.签订合同时，采购人与中标(成交)人应结合采购文件规定填列相应内容。采购文件已有约定的，双方均不得对约定进行变更或调整；采购文件未作规定的，双方可通过友好协商进行约定。</w:t>
      </w:r>
    </w:p>
    <w:p>
      <w:pPr>
        <w:pStyle w:val="16"/>
        <w:outlineLvl w:val="3"/>
        <w:rPr>
          <w:color w:val="auto"/>
          <w:sz w:val="21"/>
          <w:szCs w:val="21"/>
          <w:highlight w:val="none"/>
        </w:rPr>
      </w:pPr>
      <w:r>
        <w:rPr>
          <w:b/>
          <w:color w:val="auto"/>
          <w:sz w:val="21"/>
          <w:szCs w:val="21"/>
          <w:highlight w:val="none"/>
        </w:rPr>
        <w:t xml:space="preserve"> 3.政府有关主管部门对若干合同有规范文本的，可使用相应合同文本。</w:t>
      </w:r>
    </w:p>
    <w:p>
      <w:pPr>
        <w:pStyle w:val="16"/>
        <w:outlineLvl w:val="3"/>
        <w:rPr>
          <w:color w:val="auto"/>
          <w:sz w:val="21"/>
          <w:szCs w:val="21"/>
          <w:highlight w:val="none"/>
        </w:rPr>
      </w:pPr>
      <w:r>
        <w:rPr>
          <w:b/>
          <w:color w:val="auto"/>
          <w:sz w:val="21"/>
          <w:szCs w:val="21"/>
          <w:highlight w:val="none"/>
        </w:rPr>
        <w:t xml:space="preserve"> 4.本合同范本仅供参考，采购人应当根据采购项目的实际需求对合同条款进行修改、补充。</w:t>
      </w:r>
    </w:p>
    <w:p>
      <w:pPr>
        <w:pStyle w:val="16"/>
        <w:rPr>
          <w:color w:val="auto"/>
          <w:sz w:val="21"/>
          <w:szCs w:val="21"/>
          <w:highlight w:val="none"/>
          <w:u w:val="single"/>
          <w:lang w:eastAsia="zh-CN"/>
        </w:rPr>
      </w:pPr>
      <w:r>
        <w:rPr>
          <w:color w:val="auto"/>
          <w:sz w:val="21"/>
          <w:szCs w:val="21"/>
          <w:highlight w:val="none"/>
        </w:rPr>
        <w:t>甲方：</w:t>
      </w:r>
      <w:r>
        <w:rPr>
          <w:color w:val="auto"/>
          <w:sz w:val="21"/>
          <w:szCs w:val="21"/>
          <w:highlight w:val="none"/>
          <w:u w:val="single"/>
          <w:lang w:eastAsia="zh-CN"/>
        </w:rPr>
        <w:t xml:space="preserve">                      </w:t>
      </w:r>
    </w:p>
    <w:p>
      <w:pPr>
        <w:pStyle w:val="16"/>
        <w:rPr>
          <w:color w:val="auto"/>
          <w:sz w:val="21"/>
          <w:szCs w:val="21"/>
          <w:highlight w:val="none"/>
        </w:rPr>
      </w:pPr>
      <w:r>
        <w:rPr>
          <w:color w:val="auto"/>
          <w:sz w:val="21"/>
          <w:szCs w:val="21"/>
          <w:highlight w:val="none"/>
        </w:rPr>
        <w:t>住所地：________________</w:t>
      </w:r>
    </w:p>
    <w:p>
      <w:pPr>
        <w:pStyle w:val="16"/>
        <w:rPr>
          <w:color w:val="auto"/>
          <w:sz w:val="21"/>
          <w:szCs w:val="21"/>
          <w:highlight w:val="none"/>
        </w:rPr>
      </w:pPr>
      <w:r>
        <w:rPr>
          <w:color w:val="auto"/>
          <w:sz w:val="21"/>
          <w:szCs w:val="21"/>
          <w:highlight w:val="none"/>
        </w:rPr>
        <w:t>联系人：________________</w:t>
      </w:r>
    </w:p>
    <w:p>
      <w:pPr>
        <w:pStyle w:val="16"/>
        <w:rPr>
          <w:color w:val="auto"/>
          <w:sz w:val="21"/>
          <w:szCs w:val="21"/>
          <w:highlight w:val="none"/>
        </w:rPr>
      </w:pPr>
      <w:r>
        <w:rPr>
          <w:color w:val="auto"/>
          <w:sz w:val="21"/>
          <w:szCs w:val="21"/>
          <w:highlight w:val="none"/>
        </w:rPr>
        <w:t>联系电话：______________</w:t>
      </w:r>
    </w:p>
    <w:p>
      <w:pPr>
        <w:pStyle w:val="16"/>
        <w:rPr>
          <w:color w:val="auto"/>
          <w:sz w:val="21"/>
          <w:szCs w:val="21"/>
          <w:highlight w:val="none"/>
        </w:rPr>
      </w:pPr>
      <w:r>
        <w:rPr>
          <w:color w:val="auto"/>
          <w:sz w:val="21"/>
          <w:szCs w:val="21"/>
          <w:highlight w:val="none"/>
        </w:rPr>
        <w:t>传真：________________</w:t>
      </w:r>
    </w:p>
    <w:p>
      <w:pPr>
        <w:pStyle w:val="16"/>
        <w:rPr>
          <w:rFonts w:hint="eastAsia" w:eastAsia="宋体"/>
          <w:color w:val="auto"/>
          <w:sz w:val="21"/>
          <w:szCs w:val="21"/>
          <w:highlight w:val="none"/>
          <w:lang w:eastAsia="zh-CN"/>
        </w:rPr>
      </w:pPr>
      <w:r>
        <w:rPr>
          <w:color w:val="auto"/>
          <w:sz w:val="21"/>
          <w:szCs w:val="21"/>
          <w:highlight w:val="none"/>
        </w:rPr>
        <w:t>电子邮箱：________________</w:t>
      </w:r>
    </w:p>
    <w:p>
      <w:pPr>
        <w:pStyle w:val="16"/>
        <w:rPr>
          <w:rFonts w:hint="eastAsia" w:eastAsia="宋体"/>
          <w:color w:val="auto"/>
          <w:sz w:val="21"/>
          <w:szCs w:val="21"/>
          <w:highlight w:val="none"/>
          <w:lang w:eastAsia="zh-CN"/>
        </w:rPr>
      </w:pPr>
    </w:p>
    <w:p>
      <w:pPr>
        <w:pStyle w:val="16"/>
        <w:rPr>
          <w:color w:val="auto"/>
          <w:sz w:val="21"/>
          <w:szCs w:val="21"/>
          <w:highlight w:val="none"/>
        </w:rPr>
      </w:pPr>
      <w:r>
        <w:rPr>
          <w:color w:val="auto"/>
          <w:sz w:val="21"/>
          <w:szCs w:val="21"/>
          <w:highlight w:val="none"/>
        </w:rPr>
        <w:t xml:space="preserve"> 乙方： ________________</w:t>
      </w:r>
    </w:p>
    <w:p>
      <w:pPr>
        <w:pStyle w:val="16"/>
        <w:rPr>
          <w:color w:val="auto"/>
          <w:sz w:val="21"/>
          <w:szCs w:val="21"/>
          <w:highlight w:val="none"/>
        </w:rPr>
      </w:pPr>
      <w:r>
        <w:rPr>
          <w:color w:val="auto"/>
          <w:sz w:val="21"/>
          <w:szCs w:val="21"/>
          <w:highlight w:val="none"/>
        </w:rPr>
        <w:t xml:space="preserve"> 住所地： ________________</w:t>
      </w:r>
    </w:p>
    <w:p>
      <w:pPr>
        <w:pStyle w:val="16"/>
        <w:rPr>
          <w:color w:val="auto"/>
          <w:sz w:val="21"/>
          <w:szCs w:val="21"/>
          <w:highlight w:val="none"/>
        </w:rPr>
      </w:pPr>
      <w:r>
        <w:rPr>
          <w:color w:val="auto"/>
          <w:sz w:val="21"/>
          <w:szCs w:val="21"/>
          <w:highlight w:val="none"/>
        </w:rPr>
        <w:t xml:space="preserve"> 联系人：______________</w:t>
      </w:r>
    </w:p>
    <w:p>
      <w:pPr>
        <w:pStyle w:val="16"/>
        <w:rPr>
          <w:color w:val="auto"/>
          <w:sz w:val="21"/>
          <w:szCs w:val="21"/>
          <w:highlight w:val="none"/>
        </w:rPr>
      </w:pPr>
      <w:r>
        <w:rPr>
          <w:color w:val="auto"/>
          <w:sz w:val="21"/>
          <w:szCs w:val="21"/>
          <w:highlight w:val="none"/>
        </w:rPr>
        <w:t xml:space="preserve"> 联系电话：______________</w:t>
      </w:r>
    </w:p>
    <w:p>
      <w:pPr>
        <w:pStyle w:val="16"/>
        <w:rPr>
          <w:color w:val="auto"/>
          <w:sz w:val="21"/>
          <w:szCs w:val="21"/>
          <w:highlight w:val="none"/>
        </w:rPr>
      </w:pPr>
      <w:r>
        <w:rPr>
          <w:color w:val="auto"/>
          <w:sz w:val="21"/>
          <w:szCs w:val="21"/>
          <w:highlight w:val="none"/>
        </w:rPr>
        <w:t xml:space="preserve"> 传真：________________</w:t>
      </w:r>
    </w:p>
    <w:p>
      <w:pPr>
        <w:pStyle w:val="16"/>
        <w:rPr>
          <w:color w:val="auto"/>
          <w:sz w:val="21"/>
          <w:szCs w:val="21"/>
          <w:highlight w:val="none"/>
        </w:rPr>
      </w:pPr>
      <w:r>
        <w:rPr>
          <w:color w:val="auto"/>
          <w:sz w:val="21"/>
          <w:szCs w:val="21"/>
          <w:highlight w:val="none"/>
        </w:rPr>
        <w:t xml:space="preserve"> 电子邮箱：________________</w:t>
      </w:r>
    </w:p>
    <w:p>
      <w:pPr>
        <w:pStyle w:val="16"/>
        <w:rPr>
          <w:color w:val="auto"/>
          <w:sz w:val="21"/>
          <w:szCs w:val="21"/>
          <w:highlight w:val="none"/>
        </w:rPr>
      </w:pPr>
      <w:r>
        <w:rPr>
          <w:color w:val="auto"/>
          <w:sz w:val="21"/>
          <w:szCs w:val="21"/>
          <w:highlight w:val="none"/>
        </w:rPr>
        <w:t>根据项目编号为___________ 的 __________项目（以下简称：“本项目”）的采购结果，遵循平等、自愿、公平和诚实信用的原则，双方签署本合同，具体内容如下：</w:t>
      </w:r>
    </w:p>
    <w:p>
      <w:pPr>
        <w:pStyle w:val="16"/>
        <w:outlineLvl w:val="3"/>
        <w:rPr>
          <w:color w:val="auto"/>
          <w:sz w:val="21"/>
          <w:szCs w:val="21"/>
          <w:highlight w:val="none"/>
        </w:rPr>
      </w:pPr>
      <w:r>
        <w:rPr>
          <w:b/>
          <w:color w:val="auto"/>
          <w:sz w:val="21"/>
          <w:szCs w:val="21"/>
          <w:highlight w:val="none"/>
        </w:rPr>
        <w:t xml:space="preserve"> 一、合同组成部分</w:t>
      </w:r>
    </w:p>
    <w:p>
      <w:pPr>
        <w:pStyle w:val="16"/>
        <w:rPr>
          <w:color w:val="auto"/>
          <w:sz w:val="21"/>
          <w:szCs w:val="21"/>
          <w:highlight w:val="none"/>
        </w:rPr>
      </w:pPr>
      <w:r>
        <w:rPr>
          <w:color w:val="auto"/>
          <w:sz w:val="21"/>
          <w:szCs w:val="21"/>
          <w:highlight w:val="none"/>
        </w:rPr>
        <w:t>1.1本合同条款及附件；</w:t>
      </w:r>
    </w:p>
    <w:p>
      <w:pPr>
        <w:pStyle w:val="16"/>
        <w:rPr>
          <w:color w:val="auto"/>
          <w:sz w:val="21"/>
          <w:szCs w:val="21"/>
          <w:highlight w:val="none"/>
        </w:rPr>
      </w:pPr>
      <w:r>
        <w:rPr>
          <w:color w:val="auto"/>
          <w:sz w:val="21"/>
          <w:szCs w:val="21"/>
          <w:highlight w:val="none"/>
        </w:rPr>
        <w:t>1.2采购文件及其附件、补充文件；</w:t>
      </w:r>
    </w:p>
    <w:p>
      <w:pPr>
        <w:pStyle w:val="16"/>
        <w:rPr>
          <w:color w:val="auto"/>
          <w:sz w:val="21"/>
          <w:szCs w:val="21"/>
          <w:highlight w:val="none"/>
        </w:rPr>
      </w:pPr>
      <w:r>
        <w:rPr>
          <w:color w:val="auto"/>
          <w:sz w:val="21"/>
          <w:szCs w:val="21"/>
          <w:highlight w:val="none"/>
        </w:rPr>
        <w:t>1.3乙方的响应文件及其附件、补充文件；</w:t>
      </w:r>
    </w:p>
    <w:p>
      <w:pPr>
        <w:pStyle w:val="16"/>
        <w:rPr>
          <w:color w:val="auto"/>
          <w:sz w:val="21"/>
          <w:szCs w:val="21"/>
          <w:highlight w:val="none"/>
        </w:rPr>
      </w:pPr>
      <w:r>
        <w:rPr>
          <w:color w:val="auto"/>
          <w:sz w:val="21"/>
          <w:szCs w:val="21"/>
          <w:highlight w:val="none"/>
        </w:rPr>
        <w:t>1.4其他文件或材料：</w:t>
      </w:r>
    </w:p>
    <w:p>
      <w:pPr>
        <w:pStyle w:val="16"/>
        <w:outlineLvl w:val="3"/>
        <w:rPr>
          <w:rFonts w:hint="eastAsia" w:eastAsia="宋体"/>
          <w:b/>
          <w:color w:val="auto"/>
          <w:sz w:val="21"/>
          <w:szCs w:val="21"/>
          <w:highlight w:val="none"/>
          <w:lang w:eastAsia="zh-CN"/>
        </w:rPr>
      </w:pPr>
      <w:r>
        <w:rPr>
          <w:b/>
          <w:color w:val="auto"/>
          <w:sz w:val="21"/>
          <w:szCs w:val="21"/>
          <w:highlight w:val="none"/>
        </w:rPr>
        <w:t xml:space="preserve"> 二、合同标的</w:t>
      </w:r>
    </w:p>
    <w:p>
      <w:pPr>
        <w:pStyle w:val="16"/>
        <w:outlineLvl w:val="3"/>
        <w:rPr>
          <w:rFonts w:hint="eastAsia" w:eastAsia="宋体"/>
          <w:b/>
          <w:color w:val="auto"/>
          <w:sz w:val="21"/>
          <w:szCs w:val="21"/>
          <w:highlight w:val="none"/>
          <w:lang w:eastAsia="zh-CN"/>
        </w:rPr>
      </w:pPr>
    </w:p>
    <w:p>
      <w:pPr>
        <w:pStyle w:val="16"/>
        <w:outlineLvl w:val="3"/>
        <w:rPr>
          <w:color w:val="auto"/>
          <w:sz w:val="21"/>
          <w:szCs w:val="21"/>
          <w:highlight w:val="none"/>
        </w:rPr>
      </w:pPr>
      <w:r>
        <w:rPr>
          <w:b/>
          <w:color w:val="auto"/>
          <w:sz w:val="21"/>
          <w:szCs w:val="21"/>
          <w:highlight w:val="none"/>
        </w:rPr>
        <w:t xml:space="preserve"> 三、价格形式及合同价款</w:t>
      </w:r>
    </w:p>
    <w:p>
      <w:pPr>
        <w:pStyle w:val="16"/>
        <w:outlineLvl w:val="4"/>
        <w:rPr>
          <w:color w:val="auto"/>
          <w:sz w:val="21"/>
          <w:szCs w:val="21"/>
          <w:highlight w:val="none"/>
        </w:rPr>
      </w:pPr>
      <w:r>
        <w:rPr>
          <w:b/>
          <w:color w:val="auto"/>
          <w:sz w:val="21"/>
          <w:szCs w:val="21"/>
          <w:highlight w:val="none"/>
        </w:rPr>
        <w:t xml:space="preserve"> 3.1价格形式</w:t>
      </w:r>
    </w:p>
    <w:p>
      <w:pPr>
        <w:pStyle w:val="16"/>
        <w:rPr>
          <w:color w:val="auto"/>
          <w:sz w:val="21"/>
          <w:szCs w:val="21"/>
          <w:highlight w:val="none"/>
        </w:rPr>
      </w:pPr>
      <w:r>
        <w:rPr>
          <w:color w:val="auto"/>
          <w:sz w:val="21"/>
          <w:szCs w:val="21"/>
          <w:highlight w:val="none"/>
        </w:rPr>
        <w:t xml:space="preserve"> 固定单价合同。完成约定服务事项的含税合同单价为：人民币（大写）元（￥ _____________元）。</w:t>
      </w:r>
    </w:p>
    <w:p>
      <w:pPr>
        <w:pStyle w:val="16"/>
        <w:spacing w:line="300" w:lineRule="auto"/>
        <w:rPr>
          <w:color w:val="auto"/>
          <w:sz w:val="21"/>
          <w:szCs w:val="21"/>
          <w:highlight w:val="none"/>
        </w:rPr>
      </w:pPr>
      <w:r>
        <w:rPr>
          <w:color w:val="auto"/>
          <w:sz w:val="21"/>
          <w:szCs w:val="21"/>
          <w:highlight w:val="none"/>
        </w:rPr>
        <w:t xml:space="preserve"> 固定总价合同。完成约定服务事项的含税服务费用为：人民币（大写）元（￥_____________ 元）。</w:t>
      </w:r>
    </w:p>
    <w:p>
      <w:pPr>
        <w:pStyle w:val="16"/>
        <w:spacing w:line="300" w:lineRule="auto"/>
        <w:rPr>
          <w:color w:val="auto"/>
          <w:sz w:val="21"/>
          <w:szCs w:val="21"/>
          <w:highlight w:val="none"/>
        </w:rPr>
      </w:pPr>
      <w:r>
        <w:rPr>
          <w:color w:val="auto"/>
          <w:sz w:val="21"/>
          <w:szCs w:val="21"/>
          <w:highlight w:val="none"/>
        </w:rPr>
        <w:t xml:space="preserve"> 其他方式。</w:t>
      </w:r>
    </w:p>
    <w:p>
      <w:pPr>
        <w:pStyle w:val="16"/>
        <w:spacing w:line="300" w:lineRule="auto"/>
        <w:outlineLvl w:val="4"/>
        <w:rPr>
          <w:color w:val="auto"/>
          <w:sz w:val="21"/>
          <w:szCs w:val="21"/>
          <w:highlight w:val="none"/>
        </w:rPr>
      </w:pPr>
      <w:r>
        <w:rPr>
          <w:b/>
          <w:color w:val="auto"/>
          <w:sz w:val="21"/>
          <w:szCs w:val="21"/>
          <w:highlight w:val="none"/>
        </w:rPr>
        <w:t xml:space="preserve"> 3.2合同价款包含范围</w:t>
      </w:r>
    </w:p>
    <w:p>
      <w:pPr>
        <w:pStyle w:val="16"/>
        <w:outlineLvl w:val="4"/>
        <w:rPr>
          <w:color w:val="auto"/>
          <w:sz w:val="21"/>
          <w:szCs w:val="21"/>
          <w:highlight w:val="none"/>
        </w:rPr>
      </w:pPr>
      <w:r>
        <w:rPr>
          <w:b/>
          <w:color w:val="auto"/>
          <w:sz w:val="21"/>
          <w:szCs w:val="21"/>
          <w:highlight w:val="none"/>
        </w:rPr>
        <w:t xml:space="preserve"> 3.3其他需说明的事项：</w:t>
      </w:r>
    </w:p>
    <w:p>
      <w:pPr>
        <w:pStyle w:val="16"/>
        <w:outlineLvl w:val="3"/>
        <w:rPr>
          <w:color w:val="auto"/>
          <w:sz w:val="21"/>
          <w:szCs w:val="21"/>
          <w:highlight w:val="none"/>
        </w:rPr>
      </w:pPr>
      <w:r>
        <w:rPr>
          <w:b/>
          <w:color w:val="auto"/>
          <w:sz w:val="21"/>
          <w:szCs w:val="21"/>
          <w:highlight w:val="none"/>
        </w:rPr>
        <w:t xml:space="preserve"> 四、合同标的及服务范围、地点和时间</w:t>
      </w:r>
    </w:p>
    <w:p>
      <w:pPr>
        <w:pStyle w:val="16"/>
        <w:rPr>
          <w:color w:val="auto"/>
          <w:sz w:val="21"/>
          <w:szCs w:val="21"/>
          <w:highlight w:val="none"/>
        </w:rPr>
      </w:pPr>
      <w:r>
        <w:rPr>
          <w:color w:val="auto"/>
          <w:sz w:val="21"/>
          <w:szCs w:val="21"/>
          <w:highlight w:val="none"/>
        </w:rPr>
        <w:t xml:space="preserve"> 4.1项目名称： _____________</w:t>
      </w:r>
    </w:p>
    <w:p>
      <w:pPr>
        <w:pStyle w:val="16"/>
        <w:rPr>
          <w:color w:val="auto"/>
          <w:sz w:val="21"/>
          <w:szCs w:val="21"/>
          <w:highlight w:val="none"/>
        </w:rPr>
      </w:pPr>
      <w:r>
        <w:rPr>
          <w:color w:val="auto"/>
          <w:sz w:val="21"/>
          <w:szCs w:val="21"/>
          <w:highlight w:val="none"/>
        </w:rPr>
        <w:t xml:space="preserve"> 4.2服务范围：_____________</w:t>
      </w:r>
    </w:p>
    <w:p>
      <w:pPr>
        <w:pStyle w:val="16"/>
        <w:rPr>
          <w:color w:val="auto"/>
          <w:sz w:val="21"/>
          <w:szCs w:val="21"/>
          <w:highlight w:val="none"/>
        </w:rPr>
      </w:pPr>
      <w:r>
        <w:rPr>
          <w:color w:val="auto"/>
          <w:sz w:val="21"/>
          <w:szCs w:val="21"/>
          <w:highlight w:val="none"/>
        </w:rPr>
        <w:t xml:space="preserve"> 4.3服务地点：_____________</w:t>
      </w:r>
    </w:p>
    <w:p>
      <w:pPr>
        <w:pStyle w:val="16"/>
        <w:rPr>
          <w:color w:val="auto"/>
          <w:sz w:val="21"/>
          <w:szCs w:val="21"/>
          <w:highlight w:val="none"/>
        </w:rPr>
      </w:pPr>
      <w:r>
        <w:rPr>
          <w:color w:val="auto"/>
          <w:sz w:val="21"/>
          <w:szCs w:val="21"/>
          <w:highlight w:val="none"/>
        </w:rPr>
        <w:t xml:space="preserve"> 4.4服务完成时间：_____________</w:t>
      </w:r>
    </w:p>
    <w:p>
      <w:pPr>
        <w:pStyle w:val="16"/>
        <w:outlineLvl w:val="3"/>
        <w:rPr>
          <w:color w:val="auto"/>
          <w:sz w:val="21"/>
          <w:szCs w:val="21"/>
          <w:highlight w:val="none"/>
        </w:rPr>
      </w:pPr>
      <w:r>
        <w:rPr>
          <w:b/>
          <w:color w:val="auto"/>
          <w:sz w:val="21"/>
          <w:szCs w:val="21"/>
          <w:highlight w:val="none"/>
        </w:rPr>
        <w:t xml:space="preserve"> 五、服务内容、质量标准和要求</w:t>
      </w:r>
    </w:p>
    <w:p>
      <w:pPr>
        <w:pStyle w:val="16"/>
        <w:rPr>
          <w:color w:val="auto"/>
          <w:sz w:val="21"/>
          <w:szCs w:val="21"/>
          <w:highlight w:val="none"/>
        </w:rPr>
      </w:pPr>
      <w:r>
        <w:rPr>
          <w:color w:val="auto"/>
          <w:sz w:val="21"/>
          <w:szCs w:val="21"/>
          <w:highlight w:val="none"/>
        </w:rPr>
        <w:t xml:space="preserve"> 5.1服务工作量的计量方式：_____________</w:t>
      </w:r>
    </w:p>
    <w:p>
      <w:pPr>
        <w:pStyle w:val="16"/>
        <w:rPr>
          <w:color w:val="auto"/>
          <w:sz w:val="21"/>
          <w:szCs w:val="21"/>
          <w:highlight w:val="none"/>
        </w:rPr>
      </w:pPr>
      <w:r>
        <w:rPr>
          <w:color w:val="auto"/>
          <w:sz w:val="21"/>
          <w:szCs w:val="21"/>
          <w:highlight w:val="none"/>
        </w:rPr>
        <w:t xml:space="preserve"> 5.2服务内容：_____________</w:t>
      </w:r>
    </w:p>
    <w:p>
      <w:pPr>
        <w:pStyle w:val="16"/>
        <w:rPr>
          <w:color w:val="auto"/>
          <w:sz w:val="21"/>
          <w:szCs w:val="21"/>
          <w:highlight w:val="none"/>
        </w:rPr>
      </w:pPr>
      <w:r>
        <w:rPr>
          <w:color w:val="auto"/>
          <w:sz w:val="21"/>
          <w:szCs w:val="21"/>
          <w:highlight w:val="none"/>
        </w:rPr>
        <w:t xml:space="preserve"> 5.3技术保障、服务人员组成、所涉及的货物的质量标准：</w:t>
      </w:r>
    </w:p>
    <w:p>
      <w:pPr>
        <w:pStyle w:val="16"/>
        <w:rPr>
          <w:color w:val="auto"/>
          <w:sz w:val="21"/>
          <w:szCs w:val="21"/>
          <w:highlight w:val="none"/>
        </w:rPr>
      </w:pPr>
      <w:r>
        <w:rPr>
          <w:color w:val="auto"/>
          <w:sz w:val="21"/>
          <w:szCs w:val="21"/>
          <w:highlight w:val="none"/>
        </w:rPr>
        <w:t xml:space="preserve"> （1）服务技术保障：_____________</w:t>
      </w:r>
    </w:p>
    <w:p>
      <w:pPr>
        <w:pStyle w:val="16"/>
        <w:rPr>
          <w:color w:val="auto"/>
          <w:sz w:val="21"/>
          <w:szCs w:val="21"/>
          <w:highlight w:val="none"/>
        </w:rPr>
      </w:pPr>
      <w:r>
        <w:rPr>
          <w:color w:val="auto"/>
          <w:sz w:val="21"/>
          <w:szCs w:val="21"/>
          <w:highlight w:val="none"/>
        </w:rPr>
        <w:t xml:space="preserve"> （2）服务人员组成：_____________</w:t>
      </w:r>
    </w:p>
    <w:p>
      <w:pPr>
        <w:pStyle w:val="16"/>
        <w:rPr>
          <w:color w:val="auto"/>
          <w:sz w:val="21"/>
          <w:szCs w:val="21"/>
          <w:highlight w:val="none"/>
        </w:rPr>
      </w:pPr>
      <w:r>
        <w:rPr>
          <w:color w:val="auto"/>
          <w:sz w:val="21"/>
          <w:szCs w:val="21"/>
          <w:highlight w:val="none"/>
        </w:rPr>
        <w:t xml:space="preserve"> （3）服务设备及物资投入及质量标准：_____________</w:t>
      </w:r>
    </w:p>
    <w:p>
      <w:pPr>
        <w:pStyle w:val="16"/>
        <w:rPr>
          <w:color w:val="auto"/>
          <w:sz w:val="21"/>
          <w:szCs w:val="21"/>
          <w:highlight w:val="none"/>
        </w:rPr>
      </w:pPr>
      <w:r>
        <w:rPr>
          <w:color w:val="auto"/>
          <w:sz w:val="21"/>
          <w:szCs w:val="21"/>
          <w:highlight w:val="none"/>
        </w:rPr>
        <w:t xml:space="preserve"> 5.4服务质量标准及要求：</w:t>
      </w:r>
    </w:p>
    <w:p>
      <w:pPr>
        <w:pStyle w:val="16"/>
        <w:rPr>
          <w:color w:val="auto"/>
          <w:sz w:val="21"/>
          <w:szCs w:val="21"/>
          <w:highlight w:val="none"/>
        </w:rPr>
      </w:pPr>
      <w:r>
        <w:rPr>
          <w:color w:val="auto"/>
          <w:sz w:val="21"/>
          <w:szCs w:val="21"/>
          <w:highlight w:val="none"/>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16"/>
        <w:rPr>
          <w:color w:val="auto"/>
          <w:sz w:val="21"/>
          <w:szCs w:val="21"/>
          <w:highlight w:val="none"/>
        </w:rPr>
      </w:pPr>
      <w:r>
        <w:rPr>
          <w:color w:val="auto"/>
          <w:sz w:val="21"/>
          <w:szCs w:val="21"/>
          <w:highlight w:val="none"/>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16"/>
        <w:rPr>
          <w:color w:val="auto"/>
          <w:sz w:val="21"/>
          <w:szCs w:val="21"/>
          <w:highlight w:val="none"/>
        </w:rPr>
      </w:pPr>
      <w:r>
        <w:rPr>
          <w:color w:val="auto"/>
          <w:sz w:val="21"/>
          <w:szCs w:val="21"/>
          <w:highlight w:val="none"/>
        </w:rPr>
        <w:t xml:space="preserve"> 5.4.3其他要求：</w:t>
      </w:r>
    </w:p>
    <w:p>
      <w:pPr>
        <w:pStyle w:val="16"/>
        <w:outlineLvl w:val="3"/>
        <w:rPr>
          <w:color w:val="auto"/>
          <w:sz w:val="21"/>
          <w:szCs w:val="21"/>
          <w:highlight w:val="none"/>
        </w:rPr>
      </w:pPr>
      <w:r>
        <w:rPr>
          <w:b/>
          <w:color w:val="auto"/>
          <w:sz w:val="21"/>
          <w:szCs w:val="21"/>
          <w:highlight w:val="none"/>
        </w:rPr>
        <w:t xml:space="preserve"> 六、服务履约验收或考核</w:t>
      </w:r>
    </w:p>
    <w:p>
      <w:pPr>
        <w:pStyle w:val="16"/>
        <w:rPr>
          <w:color w:val="auto"/>
          <w:sz w:val="21"/>
          <w:szCs w:val="21"/>
          <w:highlight w:val="none"/>
        </w:rPr>
      </w:pPr>
      <w:r>
        <w:rPr>
          <w:color w:val="auto"/>
          <w:sz w:val="21"/>
          <w:szCs w:val="21"/>
          <w:highlight w:val="none"/>
        </w:rPr>
        <w:t xml:space="preserve"> 甲方按照采购文件、乙方的投标或响应文件和本协议约定的服务内容及质量要求按次组织对乙方所提供服务进行验收，或定期进行服务考核，并根据验收或考核结果支付服务费用。具体如下：</w:t>
      </w:r>
    </w:p>
    <w:p>
      <w:pPr>
        <w:pStyle w:val="16"/>
        <w:outlineLvl w:val="3"/>
        <w:rPr>
          <w:color w:val="auto"/>
          <w:sz w:val="21"/>
          <w:szCs w:val="21"/>
          <w:highlight w:val="none"/>
        </w:rPr>
      </w:pPr>
      <w:r>
        <w:rPr>
          <w:b/>
          <w:color w:val="auto"/>
          <w:sz w:val="21"/>
          <w:szCs w:val="21"/>
          <w:highlight w:val="none"/>
        </w:rPr>
        <w:t xml:space="preserve"> 七、甲方的权利与义务</w:t>
      </w:r>
    </w:p>
    <w:p>
      <w:pPr>
        <w:pStyle w:val="16"/>
        <w:rPr>
          <w:color w:val="auto"/>
          <w:sz w:val="21"/>
          <w:szCs w:val="21"/>
          <w:highlight w:val="none"/>
        </w:rPr>
      </w:pPr>
      <w:r>
        <w:rPr>
          <w:color w:val="auto"/>
          <w:sz w:val="21"/>
          <w:szCs w:val="21"/>
          <w:highlight w:val="none"/>
        </w:rPr>
        <w:t xml:space="preserve"> 7.1甲方委派___________为联系人，联系方式 ___________，负责与乙方联系。如甲方联系人发生变更，甲方应书面告知乙方。</w:t>
      </w:r>
    </w:p>
    <w:p>
      <w:pPr>
        <w:pStyle w:val="16"/>
        <w:rPr>
          <w:color w:val="auto"/>
          <w:sz w:val="21"/>
          <w:szCs w:val="21"/>
          <w:highlight w:val="none"/>
        </w:rPr>
      </w:pPr>
      <w:r>
        <w:rPr>
          <w:color w:val="auto"/>
          <w:sz w:val="21"/>
          <w:szCs w:val="21"/>
          <w:highlight w:val="none"/>
        </w:rPr>
        <w:t xml:space="preserve"> 7.2甲方应为乙方开展服务工作提供必要的工作条件，以及对内对外沟通和配合协助。</w:t>
      </w:r>
    </w:p>
    <w:p>
      <w:pPr>
        <w:pStyle w:val="16"/>
        <w:rPr>
          <w:color w:val="auto"/>
          <w:sz w:val="21"/>
          <w:szCs w:val="21"/>
          <w:highlight w:val="none"/>
        </w:rPr>
      </w:pPr>
      <w:r>
        <w:rPr>
          <w:color w:val="auto"/>
          <w:sz w:val="21"/>
          <w:szCs w:val="21"/>
          <w:highlight w:val="none"/>
        </w:rPr>
        <w:t xml:space="preserve"> 7.3甲方应于___________之前提供服务所需的全部资料，并对所提供材料真实性、完整性、合法性负责。</w:t>
      </w:r>
    </w:p>
    <w:p>
      <w:pPr>
        <w:pStyle w:val="16"/>
        <w:rPr>
          <w:color w:val="auto"/>
          <w:sz w:val="21"/>
          <w:szCs w:val="21"/>
          <w:highlight w:val="none"/>
        </w:rPr>
      </w:pPr>
      <w:r>
        <w:rPr>
          <w:color w:val="auto"/>
          <w:sz w:val="21"/>
          <w:szCs w:val="21"/>
          <w:highlight w:val="none"/>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pStyle w:val="16"/>
        <w:rPr>
          <w:color w:val="auto"/>
          <w:sz w:val="21"/>
          <w:szCs w:val="21"/>
          <w:highlight w:val="none"/>
        </w:rPr>
      </w:pPr>
      <w:r>
        <w:rPr>
          <w:color w:val="auto"/>
          <w:sz w:val="21"/>
          <w:szCs w:val="21"/>
          <w:highlight w:val="none"/>
        </w:rPr>
        <w:t xml:space="preserve"> 7.5甲方应按本合同约定及时足额支付服务费用及相关费用。</w:t>
      </w:r>
    </w:p>
    <w:p>
      <w:pPr>
        <w:pStyle w:val="16"/>
        <w:rPr>
          <w:color w:val="auto"/>
          <w:sz w:val="21"/>
          <w:szCs w:val="21"/>
          <w:highlight w:val="none"/>
        </w:rPr>
      </w:pPr>
      <w:r>
        <w:rPr>
          <w:color w:val="auto"/>
          <w:sz w:val="21"/>
          <w:szCs w:val="21"/>
          <w:highlight w:val="none"/>
        </w:rPr>
        <w:t xml:space="preserve"> 7.6其他</w:t>
      </w:r>
    </w:p>
    <w:p>
      <w:pPr>
        <w:pStyle w:val="16"/>
        <w:outlineLvl w:val="3"/>
        <w:rPr>
          <w:color w:val="auto"/>
          <w:sz w:val="21"/>
          <w:szCs w:val="21"/>
          <w:highlight w:val="none"/>
        </w:rPr>
      </w:pPr>
      <w:r>
        <w:rPr>
          <w:b/>
          <w:color w:val="auto"/>
          <w:sz w:val="21"/>
          <w:szCs w:val="21"/>
          <w:highlight w:val="none"/>
        </w:rPr>
        <w:t xml:space="preserve"> 八、乙方的权利与义务</w:t>
      </w:r>
    </w:p>
    <w:p>
      <w:pPr>
        <w:pStyle w:val="16"/>
        <w:rPr>
          <w:color w:val="auto"/>
          <w:sz w:val="21"/>
          <w:szCs w:val="21"/>
          <w:highlight w:val="none"/>
        </w:rPr>
      </w:pPr>
      <w:r>
        <w:rPr>
          <w:color w:val="auto"/>
          <w:sz w:val="21"/>
          <w:szCs w:val="21"/>
          <w:highlight w:val="none"/>
        </w:rPr>
        <w:t>8.1乙方委派___________为联系人，联系方式 ___________，负责与甲方联系。如乙方联系人发生变更，乙方应书面告知甲方</w:t>
      </w:r>
    </w:p>
    <w:p>
      <w:pPr>
        <w:pStyle w:val="16"/>
        <w:rPr>
          <w:color w:val="auto"/>
          <w:sz w:val="21"/>
          <w:szCs w:val="21"/>
          <w:highlight w:val="none"/>
        </w:rPr>
      </w:pPr>
      <w:r>
        <w:rPr>
          <w:color w:val="auto"/>
          <w:sz w:val="21"/>
          <w:szCs w:val="21"/>
          <w:highlight w:val="none"/>
        </w:rPr>
        <w:t>8.2乙方应国家法律法规和{{乙方的权利与义务-响应要求}}等要求开展{{乙方的权利与义务-开展服务}}服务；</w:t>
      </w:r>
    </w:p>
    <w:p>
      <w:pPr>
        <w:pStyle w:val="16"/>
        <w:rPr>
          <w:color w:val="auto"/>
          <w:sz w:val="21"/>
          <w:szCs w:val="21"/>
          <w:highlight w:val="none"/>
        </w:rPr>
      </w:pPr>
      <w:r>
        <w:rPr>
          <w:color w:val="auto"/>
          <w:sz w:val="21"/>
          <w:szCs w:val="21"/>
          <w:highlight w:val="none"/>
        </w:rPr>
        <w:t>8.3乙方及其所委派服务人员应按标准或协议约定方式出具服务成果，并对其真实性和合法性负法律责任；</w:t>
      </w:r>
    </w:p>
    <w:p>
      <w:pPr>
        <w:pStyle w:val="16"/>
        <w:rPr>
          <w:color w:val="auto"/>
          <w:sz w:val="21"/>
          <w:szCs w:val="21"/>
          <w:highlight w:val="none"/>
        </w:rPr>
      </w:pPr>
      <w:r>
        <w:rPr>
          <w:color w:val="auto"/>
          <w:sz w:val="21"/>
          <w:szCs w:val="21"/>
          <w:highlight w:val="none"/>
        </w:rPr>
        <w:t>8.4乙方对执行业务过程中知悉的国家秘密或甲方的商业秘密保密。除非国家法律法规及行业规范另有规定,或经甲方同意,乙方不得将其知悉的商业秘密和甲方提供的资料对外泄露。</w:t>
      </w:r>
    </w:p>
    <w:p>
      <w:pPr>
        <w:pStyle w:val="16"/>
        <w:rPr>
          <w:color w:val="auto"/>
          <w:sz w:val="21"/>
          <w:szCs w:val="21"/>
          <w:highlight w:val="none"/>
        </w:rPr>
      </w:pPr>
      <w:r>
        <w:rPr>
          <w:color w:val="auto"/>
          <w:sz w:val="21"/>
          <w:szCs w:val="21"/>
          <w:highlight w:val="none"/>
        </w:rPr>
        <w:t>8.5乙方对服务业务应当单独建档，保存完整的工作记录，并对服务过程使用和暂存甲方的文件、材料和财物应当妥善保管。</w:t>
      </w:r>
    </w:p>
    <w:p>
      <w:pPr>
        <w:pStyle w:val="16"/>
        <w:rPr>
          <w:color w:val="auto"/>
          <w:sz w:val="21"/>
          <w:szCs w:val="21"/>
          <w:highlight w:val="none"/>
        </w:rPr>
      </w:pPr>
      <w:r>
        <w:rPr>
          <w:color w:val="auto"/>
          <w:sz w:val="21"/>
          <w:szCs w:val="21"/>
          <w:highlight w:val="none"/>
        </w:rPr>
        <w:t>8.6服务工作结束后,乙方将根据情况对甲方服务相关的管理制度及其他事项等提出改进意见。</w:t>
      </w:r>
    </w:p>
    <w:p>
      <w:pPr>
        <w:pStyle w:val="16"/>
        <w:rPr>
          <w:color w:val="auto"/>
          <w:sz w:val="21"/>
          <w:szCs w:val="21"/>
          <w:highlight w:val="none"/>
        </w:rPr>
      </w:pPr>
      <w:r>
        <w:rPr>
          <w:color w:val="auto"/>
          <w:sz w:val="21"/>
          <w:szCs w:val="21"/>
          <w:highlight w:val="none"/>
        </w:rPr>
        <w:t>8.7乙方完全遵守《中华人民共和国劳动合同法》有关规定和《中华人民共和国妇女权益保障法》中关于“劳动和社会保障权益”的有关要求。</w:t>
      </w:r>
    </w:p>
    <w:p>
      <w:pPr>
        <w:pStyle w:val="16"/>
        <w:rPr>
          <w:color w:val="auto"/>
          <w:sz w:val="21"/>
          <w:szCs w:val="21"/>
          <w:highlight w:val="none"/>
        </w:rPr>
      </w:pPr>
      <w:r>
        <w:rPr>
          <w:color w:val="auto"/>
          <w:sz w:val="21"/>
          <w:szCs w:val="21"/>
          <w:highlight w:val="none"/>
        </w:rPr>
        <w:t>8.8其他</w:t>
      </w:r>
    </w:p>
    <w:p>
      <w:pPr>
        <w:pStyle w:val="16"/>
        <w:outlineLvl w:val="3"/>
        <w:rPr>
          <w:rFonts w:hint="eastAsia" w:eastAsia="宋体"/>
          <w:b/>
          <w:color w:val="auto"/>
          <w:sz w:val="21"/>
          <w:szCs w:val="21"/>
          <w:highlight w:val="none"/>
          <w:lang w:eastAsia="zh-CN"/>
        </w:rPr>
      </w:pPr>
      <w:r>
        <w:rPr>
          <w:b/>
          <w:color w:val="auto"/>
          <w:sz w:val="21"/>
          <w:szCs w:val="21"/>
          <w:highlight w:val="none"/>
        </w:rPr>
        <w:t xml:space="preserve"> 九、资金支付方式、时间和条件</w:t>
      </w:r>
    </w:p>
    <w:p>
      <w:pPr>
        <w:pStyle w:val="16"/>
        <w:outlineLvl w:val="3"/>
        <w:rPr>
          <w:rFonts w:hint="eastAsia" w:eastAsia="宋体"/>
          <w:b/>
          <w:color w:val="auto"/>
          <w:sz w:val="21"/>
          <w:szCs w:val="21"/>
          <w:highlight w:val="none"/>
          <w:lang w:eastAsia="zh-CN"/>
        </w:rPr>
      </w:pPr>
    </w:p>
    <w:p>
      <w:pPr>
        <w:pStyle w:val="16"/>
        <w:outlineLvl w:val="3"/>
        <w:rPr>
          <w:color w:val="auto"/>
          <w:sz w:val="21"/>
          <w:szCs w:val="21"/>
          <w:highlight w:val="none"/>
        </w:rPr>
      </w:pPr>
      <w:r>
        <w:rPr>
          <w:b/>
          <w:color w:val="auto"/>
          <w:sz w:val="21"/>
          <w:szCs w:val="21"/>
          <w:highlight w:val="none"/>
        </w:rPr>
        <w:t xml:space="preserve"> 十、履约保证金</w:t>
      </w:r>
    </w:p>
    <w:p>
      <w:pPr>
        <w:pStyle w:val="16"/>
        <w:rPr>
          <w:color w:val="auto"/>
          <w:sz w:val="21"/>
          <w:szCs w:val="21"/>
          <w:highlight w:val="none"/>
        </w:rPr>
      </w:pPr>
      <w:r>
        <w:rPr>
          <w:color w:val="auto"/>
          <w:sz w:val="21"/>
          <w:szCs w:val="21"/>
          <w:highlight w:val="none"/>
        </w:rPr>
        <w:t xml:space="preserve"> □有，□无。具体如下：（按照采购文件规定填写）。</w:t>
      </w:r>
    </w:p>
    <w:p>
      <w:pPr>
        <w:pStyle w:val="16"/>
        <w:rPr>
          <w:color w:val="auto"/>
          <w:sz w:val="21"/>
          <w:szCs w:val="21"/>
          <w:highlight w:val="none"/>
        </w:rPr>
      </w:pPr>
      <w:r>
        <w:rPr>
          <w:color w:val="auto"/>
          <w:sz w:val="21"/>
          <w:szCs w:val="21"/>
          <w:highlight w:val="none"/>
        </w:rPr>
        <w:t>10.1乙方向甲方缴纳人民币 / 元作为本合同的履约保证金。</w:t>
      </w:r>
    </w:p>
    <w:p>
      <w:pPr>
        <w:pStyle w:val="16"/>
        <w:rPr>
          <w:color w:val="auto"/>
          <w:sz w:val="21"/>
          <w:szCs w:val="21"/>
          <w:highlight w:val="none"/>
        </w:rPr>
      </w:pPr>
      <w:r>
        <w:rPr>
          <w:color w:val="auto"/>
          <w:sz w:val="21"/>
          <w:szCs w:val="21"/>
          <w:highlight w:val="none"/>
        </w:rPr>
        <w:t>10.2履约保证金缴纳形式：支票/汇票/电汇/保函等非现金形式。</w:t>
      </w:r>
    </w:p>
    <w:p>
      <w:pPr>
        <w:pStyle w:val="16"/>
        <w:rPr>
          <w:color w:val="auto"/>
          <w:sz w:val="21"/>
          <w:szCs w:val="21"/>
          <w:highlight w:val="none"/>
        </w:rPr>
      </w:pPr>
      <w:r>
        <w:rPr>
          <w:color w:val="auto"/>
          <w:sz w:val="21"/>
          <w:szCs w:val="21"/>
          <w:highlight w:val="none"/>
        </w:rPr>
        <w:t>10.3履约保证金合同履行完毕前有效，合同履行完毕后一次性结清退还。</w:t>
      </w:r>
    </w:p>
    <w:p>
      <w:pPr>
        <w:pStyle w:val="16"/>
        <w:outlineLvl w:val="3"/>
        <w:rPr>
          <w:rFonts w:hint="eastAsia" w:eastAsia="宋体"/>
          <w:b/>
          <w:color w:val="auto"/>
          <w:sz w:val="21"/>
          <w:szCs w:val="21"/>
          <w:highlight w:val="none"/>
          <w:lang w:eastAsia="zh-CN"/>
        </w:rPr>
      </w:pPr>
      <w:r>
        <w:rPr>
          <w:b/>
          <w:color w:val="auto"/>
          <w:sz w:val="21"/>
          <w:szCs w:val="21"/>
          <w:highlight w:val="none"/>
        </w:rPr>
        <w:t xml:space="preserve"> 十一、合同期限</w:t>
      </w:r>
    </w:p>
    <w:p>
      <w:pPr>
        <w:pStyle w:val="16"/>
        <w:outlineLvl w:val="3"/>
        <w:rPr>
          <w:rFonts w:hint="eastAsia" w:eastAsia="宋体"/>
          <w:b/>
          <w:color w:val="auto"/>
          <w:sz w:val="21"/>
          <w:szCs w:val="21"/>
          <w:highlight w:val="none"/>
          <w:lang w:eastAsia="zh-CN"/>
        </w:rPr>
      </w:pPr>
    </w:p>
    <w:p>
      <w:pPr>
        <w:pStyle w:val="16"/>
        <w:outlineLvl w:val="3"/>
        <w:rPr>
          <w:color w:val="auto"/>
          <w:sz w:val="21"/>
          <w:szCs w:val="21"/>
          <w:highlight w:val="none"/>
        </w:rPr>
      </w:pPr>
      <w:r>
        <w:rPr>
          <w:b/>
          <w:color w:val="auto"/>
          <w:sz w:val="21"/>
          <w:szCs w:val="21"/>
          <w:highlight w:val="none"/>
        </w:rPr>
        <w:t xml:space="preserve"> 十二、保密条款</w:t>
      </w:r>
    </w:p>
    <w:p>
      <w:pPr>
        <w:pStyle w:val="16"/>
        <w:rPr>
          <w:color w:val="auto"/>
          <w:sz w:val="21"/>
          <w:szCs w:val="21"/>
          <w:highlight w:val="none"/>
        </w:rPr>
      </w:pPr>
      <w:r>
        <w:rPr>
          <w:color w:val="auto"/>
          <w:sz w:val="21"/>
          <w:szCs w:val="21"/>
          <w:highlight w:val="none"/>
        </w:rPr>
        <w:t>12.1对于在采购和合同履行过程中所获悉的属于保密的内容，甲、乙双方均负有保密义务。</w:t>
      </w:r>
    </w:p>
    <w:p>
      <w:pPr>
        <w:pStyle w:val="16"/>
        <w:rPr>
          <w:color w:val="auto"/>
          <w:sz w:val="21"/>
          <w:szCs w:val="21"/>
          <w:highlight w:val="none"/>
        </w:rPr>
      </w:pPr>
      <w:r>
        <w:rPr>
          <w:color w:val="auto"/>
          <w:sz w:val="21"/>
          <w:szCs w:val="21"/>
          <w:highlight w:val="none"/>
        </w:rPr>
        <w:t>12.2其他</w:t>
      </w:r>
    </w:p>
    <w:p>
      <w:pPr>
        <w:pStyle w:val="16"/>
        <w:outlineLvl w:val="3"/>
        <w:rPr>
          <w:color w:val="auto"/>
          <w:sz w:val="21"/>
          <w:szCs w:val="21"/>
          <w:highlight w:val="none"/>
        </w:rPr>
      </w:pPr>
      <w:r>
        <w:rPr>
          <w:b/>
          <w:color w:val="auto"/>
          <w:sz w:val="21"/>
          <w:szCs w:val="21"/>
          <w:highlight w:val="none"/>
        </w:rPr>
        <w:t xml:space="preserve"> 十三、违约责任</w:t>
      </w:r>
    </w:p>
    <w:p>
      <w:pPr>
        <w:pStyle w:val="16"/>
        <w:rPr>
          <w:color w:val="auto"/>
          <w:sz w:val="21"/>
          <w:szCs w:val="21"/>
          <w:highlight w:val="none"/>
        </w:rPr>
      </w:pPr>
      <w:r>
        <w:rPr>
          <w:color w:val="auto"/>
          <w:sz w:val="21"/>
          <w:szCs w:val="21"/>
          <w:highlight w:val="none"/>
        </w:rPr>
        <w:t>13.1甲方违约责任</w:t>
      </w:r>
    </w:p>
    <w:p>
      <w:pPr>
        <w:pStyle w:val="16"/>
        <w:rPr>
          <w:color w:val="auto"/>
          <w:sz w:val="21"/>
          <w:szCs w:val="21"/>
          <w:highlight w:val="none"/>
        </w:rPr>
      </w:pPr>
      <w:r>
        <w:rPr>
          <w:color w:val="auto"/>
          <w:sz w:val="21"/>
          <w:szCs w:val="21"/>
          <w:highlight w:val="none"/>
        </w:rPr>
        <w:t>（1）甲方无正当理由拒绝乙方提供合格服务的，甲方应向乙方偿付所拒收合同总价________的违约金</w:t>
      </w:r>
    </w:p>
    <w:p>
      <w:pPr>
        <w:pStyle w:val="16"/>
        <w:rPr>
          <w:color w:val="auto"/>
          <w:sz w:val="21"/>
          <w:szCs w:val="21"/>
          <w:highlight w:val="none"/>
        </w:rPr>
      </w:pPr>
      <w:r>
        <w:rPr>
          <w:color w:val="auto"/>
          <w:sz w:val="21"/>
          <w:szCs w:val="21"/>
          <w:highlight w:val="none"/>
        </w:rPr>
        <w:t>（2）甲方无故逾期验收和办理合同款项支付手续的,甲方应按逾期付款总额每日________向乙方支付违约金。</w:t>
      </w:r>
    </w:p>
    <w:p>
      <w:pPr>
        <w:pStyle w:val="16"/>
        <w:rPr>
          <w:color w:val="auto"/>
          <w:sz w:val="21"/>
          <w:szCs w:val="21"/>
          <w:highlight w:val="none"/>
        </w:rPr>
      </w:pPr>
      <w:r>
        <w:rPr>
          <w:color w:val="auto"/>
          <w:sz w:val="21"/>
          <w:szCs w:val="21"/>
          <w:highlight w:val="none"/>
        </w:rPr>
        <w:t>（3）其他违约情形</w:t>
      </w:r>
    </w:p>
    <w:p>
      <w:pPr>
        <w:pStyle w:val="16"/>
        <w:rPr>
          <w:color w:val="auto"/>
          <w:sz w:val="21"/>
          <w:szCs w:val="21"/>
          <w:highlight w:val="none"/>
        </w:rPr>
      </w:pPr>
      <w:r>
        <w:rPr>
          <w:color w:val="auto"/>
          <w:sz w:val="21"/>
          <w:szCs w:val="21"/>
          <w:highlight w:val="none"/>
        </w:rPr>
        <w:t>13.2乙方违约责任</w:t>
      </w:r>
    </w:p>
    <w:p>
      <w:pPr>
        <w:pStyle w:val="16"/>
        <w:rPr>
          <w:color w:val="auto"/>
          <w:sz w:val="21"/>
          <w:szCs w:val="21"/>
          <w:highlight w:val="none"/>
        </w:rPr>
      </w:pPr>
      <w:r>
        <w:rPr>
          <w:color w:val="auto"/>
          <w:sz w:val="21"/>
          <w:szCs w:val="21"/>
          <w:highlight w:val="none"/>
        </w:rPr>
        <w:t>（1）乙方逾期履行服务的，乙方应按逾期交付总额每日________向甲方支付违约金，由甲方从待付货款中扣除。乙方无正当理由逾期超过约定日期________仍不能交付的，视为“乙方不按合同约定履约”；</w:t>
      </w:r>
    </w:p>
    <w:p>
      <w:pPr>
        <w:pStyle w:val="16"/>
        <w:rPr>
          <w:color w:val="auto"/>
          <w:sz w:val="21"/>
          <w:szCs w:val="21"/>
          <w:highlight w:val="none"/>
        </w:rPr>
      </w:pPr>
      <w:r>
        <w:rPr>
          <w:color w:val="auto"/>
          <w:sz w:val="21"/>
          <w:szCs w:val="21"/>
          <w:highlight w:val="none"/>
        </w:rPr>
        <w:t>（2）乙方所履行的服务不符合合同规定及《采购文件》规定标准的，甲方有权拒绝，乙方愿意整改但逾期履行的，按乙方逾期履行处理。乙方拒绝整改的，视为“乙方不按合同约定履约”</w:t>
      </w:r>
    </w:p>
    <w:p>
      <w:pPr>
        <w:pStyle w:val="16"/>
        <w:rPr>
          <w:color w:val="auto"/>
          <w:sz w:val="21"/>
          <w:szCs w:val="21"/>
          <w:highlight w:val="none"/>
        </w:rPr>
      </w:pPr>
      <w:r>
        <w:rPr>
          <w:color w:val="auto"/>
          <w:sz w:val="21"/>
          <w:szCs w:val="21"/>
          <w:highlight w:val="none"/>
        </w:rPr>
        <w:t>（3）乙方不按合同约定履约的，甲方可以解除采购合同，并对乙方已缴纳的履约保证金作“不予退还”处理。同时，乙方须按以下约定向甲方支付违约金：</w:t>
      </w:r>
    </w:p>
    <w:p>
      <w:pPr>
        <w:pStyle w:val="16"/>
        <w:rPr>
          <w:color w:val="auto"/>
          <w:sz w:val="21"/>
          <w:szCs w:val="21"/>
          <w:highlight w:val="none"/>
        </w:rPr>
      </w:pPr>
      <w:r>
        <w:rPr>
          <w:color w:val="auto"/>
          <w:sz w:val="21"/>
          <w:szCs w:val="21"/>
          <w:highlight w:val="none"/>
        </w:rPr>
        <w:t>（4）其他违约情形</w:t>
      </w:r>
    </w:p>
    <w:p>
      <w:pPr>
        <w:pStyle w:val="16"/>
        <w:outlineLvl w:val="3"/>
        <w:rPr>
          <w:color w:val="auto"/>
          <w:sz w:val="21"/>
          <w:szCs w:val="21"/>
          <w:highlight w:val="none"/>
        </w:rPr>
      </w:pPr>
      <w:r>
        <w:rPr>
          <w:b/>
          <w:color w:val="auto"/>
          <w:sz w:val="21"/>
          <w:szCs w:val="21"/>
          <w:highlight w:val="none"/>
        </w:rPr>
        <w:t xml:space="preserve"> 十四、不可抗力事件处理</w:t>
      </w:r>
    </w:p>
    <w:p>
      <w:pPr>
        <w:pStyle w:val="16"/>
        <w:rPr>
          <w:color w:val="auto"/>
          <w:sz w:val="21"/>
          <w:szCs w:val="21"/>
          <w:highlight w:val="none"/>
        </w:rPr>
      </w:pPr>
      <w:r>
        <w:rPr>
          <w:color w:val="auto"/>
          <w:sz w:val="21"/>
          <w:szCs w:val="21"/>
          <w:highlight w:val="none"/>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16"/>
        <w:outlineLvl w:val="3"/>
        <w:rPr>
          <w:color w:val="auto"/>
          <w:sz w:val="21"/>
          <w:szCs w:val="21"/>
          <w:highlight w:val="none"/>
        </w:rPr>
      </w:pPr>
      <w:r>
        <w:rPr>
          <w:b/>
          <w:color w:val="auto"/>
          <w:sz w:val="21"/>
          <w:szCs w:val="21"/>
          <w:highlight w:val="none"/>
        </w:rPr>
        <w:t xml:space="preserve"> 十五、解决争议的方法</w:t>
      </w:r>
    </w:p>
    <w:p>
      <w:pPr>
        <w:pStyle w:val="16"/>
        <w:rPr>
          <w:color w:val="auto"/>
          <w:sz w:val="21"/>
          <w:szCs w:val="21"/>
          <w:highlight w:val="none"/>
        </w:rPr>
      </w:pPr>
      <w:r>
        <w:rPr>
          <w:color w:val="auto"/>
          <w:sz w:val="21"/>
          <w:szCs w:val="21"/>
          <w:highlight w:val="none"/>
        </w:rPr>
        <w:t>15.1甲、乙双方协商解决。</w:t>
      </w:r>
    </w:p>
    <w:p>
      <w:pPr>
        <w:pStyle w:val="16"/>
        <w:rPr>
          <w:color w:val="auto"/>
          <w:sz w:val="21"/>
          <w:szCs w:val="21"/>
          <w:highlight w:val="none"/>
        </w:rPr>
      </w:pPr>
      <w:r>
        <w:rPr>
          <w:color w:val="auto"/>
          <w:sz w:val="21"/>
          <w:szCs w:val="21"/>
          <w:highlight w:val="none"/>
        </w:rPr>
        <w:t>15.2若协商解决不成，双方明确按以下第_种方式解决：</w:t>
      </w:r>
    </w:p>
    <w:p>
      <w:pPr>
        <w:pStyle w:val="16"/>
        <w:rPr>
          <w:color w:val="auto"/>
          <w:sz w:val="21"/>
          <w:szCs w:val="21"/>
          <w:highlight w:val="none"/>
        </w:rPr>
      </w:pPr>
      <w:r>
        <w:rPr>
          <w:color w:val="auto"/>
          <w:sz w:val="21"/>
          <w:szCs w:val="21"/>
          <w:highlight w:val="none"/>
        </w:rPr>
        <w:t xml:space="preserve"> 1、提交仲裁委员会仲裁，具体如下：</w:t>
      </w:r>
    </w:p>
    <w:p>
      <w:pPr>
        <w:pStyle w:val="16"/>
        <w:spacing w:line="300" w:lineRule="auto"/>
        <w:rPr>
          <w:color w:val="auto"/>
          <w:sz w:val="21"/>
          <w:szCs w:val="21"/>
          <w:highlight w:val="none"/>
        </w:rPr>
      </w:pPr>
      <w:r>
        <w:rPr>
          <w:color w:val="auto"/>
          <w:sz w:val="21"/>
          <w:szCs w:val="21"/>
          <w:highlight w:val="none"/>
        </w:rPr>
        <w:t xml:space="preserve"> 2、向人民法院提起诉讼。</w:t>
      </w:r>
    </w:p>
    <w:p>
      <w:pPr>
        <w:pStyle w:val="16"/>
        <w:outlineLvl w:val="3"/>
        <w:rPr>
          <w:rFonts w:hint="eastAsia" w:eastAsia="宋体"/>
          <w:b/>
          <w:color w:val="auto"/>
          <w:sz w:val="21"/>
          <w:szCs w:val="21"/>
          <w:highlight w:val="none"/>
          <w:lang w:eastAsia="zh-CN"/>
        </w:rPr>
      </w:pPr>
      <w:r>
        <w:rPr>
          <w:b/>
          <w:color w:val="auto"/>
          <w:sz w:val="21"/>
          <w:szCs w:val="21"/>
          <w:highlight w:val="none"/>
        </w:rPr>
        <w:t xml:space="preserve"> 十六、合同其他条款</w:t>
      </w:r>
    </w:p>
    <w:p>
      <w:pPr>
        <w:pStyle w:val="16"/>
        <w:outlineLvl w:val="3"/>
        <w:rPr>
          <w:rFonts w:hint="eastAsia" w:eastAsia="宋体"/>
          <w:b/>
          <w:color w:val="auto"/>
          <w:sz w:val="21"/>
          <w:szCs w:val="21"/>
          <w:highlight w:val="none"/>
          <w:lang w:eastAsia="zh-CN"/>
        </w:rPr>
      </w:pPr>
    </w:p>
    <w:p>
      <w:pPr>
        <w:pStyle w:val="16"/>
        <w:outlineLvl w:val="3"/>
        <w:rPr>
          <w:color w:val="auto"/>
          <w:sz w:val="21"/>
          <w:szCs w:val="21"/>
          <w:highlight w:val="none"/>
        </w:rPr>
      </w:pPr>
      <w:r>
        <w:rPr>
          <w:b/>
          <w:color w:val="auto"/>
          <w:sz w:val="21"/>
          <w:szCs w:val="21"/>
          <w:highlight w:val="none"/>
        </w:rPr>
        <w:t xml:space="preserve"> 十七、其他约定</w:t>
      </w:r>
    </w:p>
    <w:p>
      <w:pPr>
        <w:pStyle w:val="16"/>
        <w:rPr>
          <w:color w:val="auto"/>
          <w:sz w:val="21"/>
          <w:szCs w:val="21"/>
          <w:highlight w:val="none"/>
        </w:rPr>
      </w:pPr>
      <w:r>
        <w:rPr>
          <w:color w:val="auto"/>
          <w:sz w:val="21"/>
          <w:szCs w:val="21"/>
          <w:highlight w:val="none"/>
        </w:rPr>
        <w:t>17.1合同文件与本合同具有同等法律效力。</w:t>
      </w:r>
    </w:p>
    <w:p>
      <w:pPr>
        <w:pStyle w:val="16"/>
        <w:rPr>
          <w:color w:val="auto"/>
          <w:sz w:val="21"/>
          <w:szCs w:val="21"/>
          <w:highlight w:val="none"/>
        </w:rPr>
      </w:pPr>
      <w:r>
        <w:rPr>
          <w:color w:val="auto"/>
          <w:sz w:val="21"/>
          <w:szCs w:val="21"/>
          <w:highlight w:val="none"/>
        </w:rPr>
        <w:t>17.2合同生效：合同经双方法定代表人或委托代理人签字并加盖单位公章后生效。</w:t>
      </w:r>
    </w:p>
    <w:p>
      <w:pPr>
        <w:pStyle w:val="16"/>
        <w:rPr>
          <w:color w:val="auto"/>
          <w:sz w:val="21"/>
          <w:szCs w:val="21"/>
          <w:highlight w:val="none"/>
        </w:rPr>
      </w:pPr>
      <w:r>
        <w:rPr>
          <w:color w:val="auto"/>
          <w:sz w:val="21"/>
          <w:szCs w:val="21"/>
          <w:highlight w:val="none"/>
        </w:rPr>
        <w:t>17.3本合同未尽事宜，遵照《中华人民共和国民法典》有关条文执行。</w:t>
      </w:r>
    </w:p>
    <w:p>
      <w:pPr>
        <w:pStyle w:val="16"/>
        <w:rPr>
          <w:color w:val="auto"/>
          <w:sz w:val="21"/>
          <w:szCs w:val="21"/>
          <w:highlight w:val="none"/>
          <w:lang w:eastAsia="zh-CN"/>
        </w:rPr>
      </w:pPr>
      <w:r>
        <w:rPr>
          <w:color w:val="auto"/>
          <w:sz w:val="21"/>
          <w:szCs w:val="21"/>
          <w:highlight w:val="none"/>
        </w:rPr>
        <w:t>17.4本合同正本一式_______份，具有同等法律效力，甲方、乙方各执_______份；副本_______份</w:t>
      </w:r>
      <w:r>
        <w:rPr>
          <w:color w:val="auto"/>
          <w:sz w:val="21"/>
          <w:szCs w:val="21"/>
          <w:highlight w:val="none"/>
          <w:lang w:eastAsia="zh-CN"/>
        </w:rPr>
        <w:t>.</w:t>
      </w:r>
    </w:p>
    <w:p>
      <w:pPr>
        <w:pStyle w:val="16"/>
        <w:rPr>
          <w:color w:val="auto"/>
          <w:sz w:val="21"/>
          <w:szCs w:val="21"/>
          <w:highlight w:val="none"/>
        </w:rPr>
      </w:pPr>
      <w:r>
        <w:rPr>
          <w:color w:val="auto"/>
          <w:sz w:val="21"/>
          <w:szCs w:val="21"/>
          <w:highlight w:val="none"/>
        </w:rPr>
        <w:t>17.</w:t>
      </w:r>
      <w:r>
        <w:rPr>
          <w:color w:val="auto"/>
          <w:sz w:val="21"/>
          <w:szCs w:val="21"/>
          <w:highlight w:val="none"/>
          <w:lang w:eastAsia="zh-CN"/>
        </w:rPr>
        <w:t>5</w:t>
      </w:r>
      <w:r>
        <w:rPr>
          <w:color w:val="auto"/>
          <w:sz w:val="21"/>
          <w:szCs w:val="21"/>
          <w:highlight w:val="none"/>
        </w:rPr>
        <w:t>其他</w:t>
      </w:r>
    </w:p>
    <w:p>
      <w:pPr>
        <w:pStyle w:val="16"/>
        <w:outlineLvl w:val="3"/>
        <w:rPr>
          <w:rFonts w:hint="eastAsia" w:eastAsia="宋体"/>
          <w:b/>
          <w:color w:val="auto"/>
          <w:sz w:val="21"/>
          <w:szCs w:val="21"/>
          <w:highlight w:val="none"/>
          <w:lang w:eastAsia="zh-CN"/>
        </w:rPr>
      </w:pPr>
      <w:r>
        <w:rPr>
          <w:b/>
          <w:color w:val="auto"/>
          <w:sz w:val="21"/>
          <w:szCs w:val="21"/>
          <w:highlight w:val="none"/>
        </w:rPr>
        <w:t xml:space="preserve"> 十八、合同附件</w:t>
      </w:r>
    </w:p>
    <w:p>
      <w:pPr>
        <w:pStyle w:val="16"/>
        <w:outlineLvl w:val="3"/>
        <w:rPr>
          <w:rFonts w:hint="eastAsia" w:eastAsia="宋体"/>
          <w:b/>
          <w:color w:val="auto"/>
          <w:sz w:val="21"/>
          <w:szCs w:val="21"/>
          <w:highlight w:val="none"/>
          <w:lang w:eastAsia="zh-CN"/>
        </w:rPr>
      </w:pPr>
    </w:p>
    <w:p>
      <w:pPr>
        <w:pStyle w:val="16"/>
        <w:outlineLvl w:val="3"/>
        <w:rPr>
          <w:rFonts w:hint="eastAsia" w:eastAsia="宋体"/>
          <w:color w:val="auto"/>
          <w:sz w:val="21"/>
          <w:szCs w:val="21"/>
          <w:highlight w:val="none"/>
          <w:lang w:eastAsia="zh-CN"/>
        </w:rPr>
      </w:pPr>
    </w:p>
    <w:p>
      <w:pPr>
        <w:pStyle w:val="16"/>
        <w:rPr>
          <w:color w:val="auto"/>
          <w:sz w:val="21"/>
          <w:szCs w:val="21"/>
          <w:highlight w:val="none"/>
        </w:rPr>
      </w:pPr>
      <w:r>
        <w:rPr>
          <w:color w:val="auto"/>
          <w:sz w:val="21"/>
          <w:szCs w:val="21"/>
          <w:highlight w:val="none"/>
        </w:rPr>
        <w:t xml:space="preserve"> 甲方（采购人）：</w:t>
      </w:r>
    </w:p>
    <w:p>
      <w:pPr>
        <w:pStyle w:val="16"/>
        <w:rPr>
          <w:color w:val="auto"/>
          <w:sz w:val="21"/>
          <w:szCs w:val="21"/>
          <w:highlight w:val="none"/>
        </w:rPr>
      </w:pPr>
      <w:r>
        <w:rPr>
          <w:color w:val="auto"/>
          <w:sz w:val="21"/>
          <w:szCs w:val="21"/>
          <w:highlight w:val="none"/>
        </w:rPr>
        <w:t xml:space="preserve"> 法定（授权）代表人：</w:t>
      </w:r>
    </w:p>
    <w:p>
      <w:pPr>
        <w:pStyle w:val="16"/>
        <w:rPr>
          <w:color w:val="auto"/>
          <w:sz w:val="21"/>
          <w:szCs w:val="21"/>
          <w:highlight w:val="none"/>
        </w:rPr>
      </w:pPr>
      <w:r>
        <w:rPr>
          <w:color w:val="auto"/>
          <w:sz w:val="21"/>
          <w:szCs w:val="21"/>
          <w:highlight w:val="none"/>
        </w:rPr>
        <w:t xml:space="preserve"> 纳税人识别号：</w:t>
      </w:r>
    </w:p>
    <w:p>
      <w:pPr>
        <w:pStyle w:val="16"/>
        <w:rPr>
          <w:color w:val="auto"/>
          <w:sz w:val="21"/>
          <w:szCs w:val="21"/>
          <w:highlight w:val="none"/>
        </w:rPr>
      </w:pPr>
      <w:r>
        <w:rPr>
          <w:color w:val="auto"/>
          <w:sz w:val="21"/>
          <w:szCs w:val="21"/>
          <w:highlight w:val="none"/>
        </w:rPr>
        <w:t xml:space="preserve"> 开户银行：</w:t>
      </w:r>
    </w:p>
    <w:p>
      <w:pPr>
        <w:pStyle w:val="16"/>
        <w:rPr>
          <w:color w:val="auto"/>
          <w:sz w:val="21"/>
          <w:szCs w:val="21"/>
          <w:highlight w:val="none"/>
        </w:rPr>
      </w:pPr>
      <w:r>
        <w:rPr>
          <w:color w:val="auto"/>
          <w:sz w:val="21"/>
          <w:szCs w:val="21"/>
          <w:highlight w:val="none"/>
        </w:rPr>
        <w:t xml:space="preserve"> 账号：</w:t>
      </w:r>
    </w:p>
    <w:p>
      <w:pPr>
        <w:pStyle w:val="16"/>
        <w:rPr>
          <w:color w:val="auto"/>
          <w:sz w:val="21"/>
          <w:szCs w:val="21"/>
          <w:highlight w:val="none"/>
        </w:rPr>
      </w:pPr>
      <w:r>
        <w:rPr>
          <w:color w:val="auto"/>
          <w:sz w:val="21"/>
          <w:szCs w:val="21"/>
          <w:highlight w:val="none"/>
        </w:rPr>
        <w:t xml:space="preserve"> 乙方（中标或成交人）：</w:t>
      </w:r>
    </w:p>
    <w:p>
      <w:pPr>
        <w:pStyle w:val="16"/>
        <w:rPr>
          <w:color w:val="auto"/>
          <w:sz w:val="21"/>
          <w:szCs w:val="21"/>
          <w:highlight w:val="none"/>
        </w:rPr>
      </w:pPr>
      <w:r>
        <w:rPr>
          <w:color w:val="auto"/>
          <w:sz w:val="21"/>
          <w:szCs w:val="21"/>
          <w:highlight w:val="none"/>
        </w:rPr>
        <w:t xml:space="preserve"> 法定（授权）代表人：</w:t>
      </w:r>
    </w:p>
    <w:p>
      <w:pPr>
        <w:pStyle w:val="16"/>
        <w:rPr>
          <w:color w:val="auto"/>
          <w:sz w:val="21"/>
          <w:szCs w:val="21"/>
          <w:highlight w:val="none"/>
        </w:rPr>
      </w:pPr>
      <w:r>
        <w:rPr>
          <w:color w:val="auto"/>
          <w:sz w:val="21"/>
          <w:szCs w:val="21"/>
          <w:highlight w:val="none"/>
        </w:rPr>
        <w:t xml:space="preserve"> 纳税人识别号：</w:t>
      </w:r>
    </w:p>
    <w:p>
      <w:pPr>
        <w:pStyle w:val="16"/>
        <w:rPr>
          <w:color w:val="auto"/>
          <w:sz w:val="21"/>
          <w:szCs w:val="21"/>
          <w:highlight w:val="none"/>
        </w:rPr>
      </w:pPr>
      <w:r>
        <w:rPr>
          <w:color w:val="auto"/>
          <w:sz w:val="21"/>
          <w:szCs w:val="21"/>
          <w:highlight w:val="none"/>
        </w:rPr>
        <w:t xml:space="preserve"> 开户银行：</w:t>
      </w:r>
    </w:p>
    <w:p>
      <w:pPr>
        <w:pStyle w:val="16"/>
        <w:rPr>
          <w:color w:val="auto"/>
          <w:sz w:val="21"/>
          <w:szCs w:val="21"/>
          <w:highlight w:val="none"/>
        </w:rPr>
      </w:pPr>
      <w:r>
        <w:rPr>
          <w:color w:val="auto"/>
          <w:sz w:val="21"/>
          <w:szCs w:val="21"/>
          <w:highlight w:val="none"/>
        </w:rPr>
        <w:t xml:space="preserve"> 账号：</w:t>
      </w:r>
    </w:p>
    <w:p>
      <w:pPr>
        <w:pStyle w:val="16"/>
        <w:rPr>
          <w:color w:val="auto"/>
          <w:sz w:val="21"/>
          <w:szCs w:val="21"/>
          <w:highlight w:val="none"/>
        </w:rPr>
      </w:pPr>
      <w:r>
        <w:rPr>
          <w:color w:val="auto"/>
          <w:sz w:val="21"/>
          <w:szCs w:val="21"/>
          <w:highlight w:val="none"/>
        </w:rPr>
        <w:t>签订地点：_____________</w:t>
      </w:r>
    </w:p>
    <w:p>
      <w:pPr>
        <w:pStyle w:val="16"/>
        <w:rPr>
          <w:color w:val="auto"/>
          <w:sz w:val="21"/>
          <w:szCs w:val="21"/>
          <w:highlight w:val="none"/>
        </w:rPr>
      </w:pPr>
      <w:r>
        <w:rPr>
          <w:color w:val="auto"/>
          <w:sz w:val="21"/>
          <w:szCs w:val="21"/>
          <w:highlight w:val="none"/>
        </w:rPr>
        <w:t>签订日期：____年___月___日</w:t>
      </w:r>
    </w:p>
    <w:p>
      <w:pPr>
        <w:pStyle w:val="2"/>
        <w:rPr>
          <w:color w:val="auto"/>
          <w:highlight w:val="none"/>
        </w:rPr>
      </w:pPr>
      <w:r>
        <w:rPr>
          <w:color w:val="auto"/>
          <w:highlight w:val="none"/>
        </w:rPr>
        <w:br w:type="page"/>
      </w:r>
      <w:r>
        <w:rPr>
          <w:color w:val="auto"/>
          <w:highlight w:val="none"/>
        </w:rPr>
        <w:t>第五章 首次响应文件格式</w:t>
      </w:r>
      <w:bookmarkEnd w:id="8"/>
      <w:bookmarkEnd w:id="9"/>
    </w:p>
    <w:p>
      <w:pPr>
        <w:pStyle w:val="11"/>
        <w:widowControl/>
        <w:spacing w:before="75" w:beforeAutospacing="0" w:after="75" w:afterAutospacing="0" w:line="435" w:lineRule="atLeast"/>
        <w:jc w:val="center"/>
        <w:rPr>
          <w:color w:val="auto"/>
          <w:highlight w:val="none"/>
        </w:rPr>
      </w:pPr>
      <w:r>
        <w:rPr>
          <w:rStyle w:val="15"/>
          <w:rFonts w:hint="eastAsia" w:ascii="宋体" w:hAnsi="宋体" w:cs="宋体"/>
          <w:color w:val="auto"/>
          <w:highlight w:val="none"/>
        </w:rPr>
        <w:t>编制说明</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1、本附件所有格式为响应文件的组成部分，供采购人或代理机构编制磋商文件时参考使用。由于新增政策、行业管理规定或者不同项目实际特点需要,则采购人或代理机构可以对有关表格进行必要的补充或修改，以满足实际项目的使用。</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2、除磋商文件另有规定外，磋商文件要求原件的，供应商在纸质响应文件正本中应提供原件；磋商文件要求复印件的，供应商在纸质响应文件中可提供原件、复印件或扫描件；磋商文件对原件、复印件未作要求的，供应商可自行确定在纸质响应文件中提供原件、复印件或扫描件（若供应商提供注明“复印件无效”的材料或资料，供应商在纸质响应文件正本中应提供原件）。</w:t>
      </w:r>
    </w:p>
    <w:p>
      <w:pPr>
        <w:pStyle w:val="11"/>
        <w:widowControl/>
        <w:spacing w:before="75" w:beforeAutospacing="0" w:after="75" w:afterAutospacing="0" w:line="435" w:lineRule="atLeast"/>
        <w:rPr>
          <w:color w:val="auto"/>
          <w:highlight w:val="none"/>
        </w:rPr>
      </w:pPr>
      <w:r>
        <w:rPr>
          <w:color w:val="auto"/>
          <w:highlight w:val="none"/>
        </w:rPr>
        <w:t> </w:t>
      </w:r>
    </w:p>
    <w:p>
      <w:pPr>
        <w:pStyle w:val="11"/>
        <w:widowControl/>
        <w:spacing w:before="75" w:beforeAutospacing="0" w:after="75" w:afterAutospacing="0"/>
        <w:rPr>
          <w:color w:val="auto"/>
          <w:highlight w:val="none"/>
        </w:rPr>
      </w:pPr>
      <w:r>
        <w:rPr>
          <w:rStyle w:val="15"/>
          <w:rFonts w:hint="eastAsia" w:ascii="宋体" w:hAnsi="宋体" w:cs="宋体"/>
          <w:color w:val="auto"/>
          <w:sz w:val="36"/>
          <w:szCs w:val="36"/>
          <w:highlight w:val="none"/>
        </w:rPr>
        <w:t> </w:t>
      </w:r>
    </w:p>
    <w:p>
      <w:pPr>
        <w:pStyle w:val="11"/>
        <w:widowControl/>
        <w:spacing w:before="75" w:beforeAutospacing="0" w:after="75" w:afterAutospacing="0"/>
        <w:rPr>
          <w:color w:val="auto"/>
          <w:highlight w:val="none"/>
        </w:rPr>
      </w:pPr>
      <w:r>
        <w:rPr>
          <w:rStyle w:val="15"/>
          <w:rFonts w:hint="eastAsia" w:ascii="宋体" w:hAnsi="宋体" w:cs="宋体"/>
          <w:color w:val="auto"/>
          <w:sz w:val="36"/>
          <w:szCs w:val="36"/>
          <w:highlight w:val="none"/>
        </w:rPr>
        <w:t> </w:t>
      </w:r>
    </w:p>
    <w:p>
      <w:pPr>
        <w:pStyle w:val="11"/>
        <w:widowControl/>
        <w:spacing w:before="75" w:beforeAutospacing="0" w:after="75" w:afterAutospacing="0"/>
        <w:rPr>
          <w:color w:val="auto"/>
          <w:highlight w:val="none"/>
        </w:rPr>
      </w:pPr>
      <w:r>
        <w:rPr>
          <w:rStyle w:val="15"/>
          <w:rFonts w:hint="eastAsia" w:ascii="宋体" w:hAnsi="宋体" w:cs="宋体"/>
          <w:color w:val="auto"/>
          <w:sz w:val="36"/>
          <w:szCs w:val="36"/>
          <w:highlight w:val="none"/>
        </w:rPr>
        <w:t> </w:t>
      </w:r>
    </w:p>
    <w:p>
      <w:pPr>
        <w:pStyle w:val="11"/>
        <w:widowControl/>
        <w:spacing w:before="75" w:beforeAutospacing="0" w:after="75" w:afterAutospacing="0"/>
        <w:rPr>
          <w:rStyle w:val="15"/>
          <w:rFonts w:hint="eastAsia" w:ascii="宋体" w:hAnsi="宋体" w:cs="宋体"/>
          <w:color w:val="auto"/>
          <w:sz w:val="36"/>
          <w:szCs w:val="36"/>
          <w:highlight w:val="none"/>
        </w:rPr>
      </w:pPr>
      <w:r>
        <w:rPr>
          <w:rStyle w:val="15"/>
          <w:rFonts w:hint="eastAsia" w:ascii="宋体" w:hAnsi="宋体" w:cs="宋体"/>
          <w:color w:val="auto"/>
          <w:sz w:val="36"/>
          <w:szCs w:val="36"/>
          <w:highlight w:val="none"/>
        </w:rPr>
        <w:t xml:space="preserve">            </w:t>
      </w:r>
    </w:p>
    <w:p>
      <w:pPr>
        <w:rPr>
          <w:rStyle w:val="15"/>
          <w:rFonts w:hint="eastAsia" w:ascii="宋体" w:hAnsi="宋体" w:cs="宋体"/>
          <w:color w:val="auto"/>
          <w:sz w:val="36"/>
          <w:szCs w:val="36"/>
          <w:highlight w:val="none"/>
        </w:rPr>
      </w:pPr>
      <w:r>
        <w:rPr>
          <w:rStyle w:val="15"/>
          <w:rFonts w:hint="eastAsia" w:ascii="宋体" w:hAnsi="宋体" w:cs="宋体"/>
          <w:color w:val="auto"/>
          <w:sz w:val="36"/>
          <w:szCs w:val="36"/>
          <w:highlight w:val="none"/>
        </w:rPr>
        <w:br w:type="page"/>
      </w:r>
    </w:p>
    <w:p>
      <w:pPr>
        <w:pStyle w:val="11"/>
        <w:widowControl/>
        <w:spacing w:before="75" w:beforeAutospacing="0" w:after="75" w:afterAutospacing="0"/>
        <w:jc w:val="center"/>
        <w:rPr>
          <w:color w:val="auto"/>
          <w:highlight w:val="none"/>
        </w:rPr>
      </w:pPr>
      <w:r>
        <w:rPr>
          <w:rStyle w:val="15"/>
          <w:rFonts w:hint="eastAsia" w:ascii="宋体" w:hAnsi="宋体" w:cs="宋体"/>
          <w:color w:val="auto"/>
          <w:sz w:val="36"/>
          <w:szCs w:val="36"/>
          <w:highlight w:val="none"/>
        </w:rPr>
        <w:t>福建省政府招标项目竞争性磋商</w:t>
      </w:r>
    </w:p>
    <w:p>
      <w:pPr>
        <w:pStyle w:val="11"/>
        <w:widowControl/>
        <w:spacing w:before="75" w:beforeAutospacing="0" w:after="75" w:afterAutospacing="0"/>
        <w:rPr>
          <w:rStyle w:val="15"/>
          <w:rFonts w:hint="eastAsia" w:ascii="宋体" w:hAnsi="宋体" w:cs="宋体"/>
          <w:color w:val="auto"/>
          <w:highlight w:val="none"/>
        </w:rPr>
      </w:pPr>
      <w:r>
        <w:rPr>
          <w:rStyle w:val="15"/>
          <w:rFonts w:hint="eastAsia" w:ascii="宋体" w:hAnsi="宋体" w:cs="宋体"/>
          <w:color w:val="auto"/>
          <w:highlight w:val="none"/>
        </w:rPr>
        <w:t xml:space="preserve">              </w:t>
      </w:r>
    </w:p>
    <w:p>
      <w:pPr>
        <w:pStyle w:val="11"/>
        <w:widowControl/>
        <w:spacing w:before="75" w:beforeAutospacing="0" w:after="75" w:afterAutospacing="0"/>
        <w:jc w:val="center"/>
        <w:rPr>
          <w:rStyle w:val="15"/>
          <w:rFonts w:hint="eastAsia" w:ascii="宋体" w:hAnsi="宋体" w:cs="宋体"/>
          <w:color w:val="auto"/>
          <w:highlight w:val="none"/>
        </w:rPr>
      </w:pPr>
      <w:r>
        <w:rPr>
          <w:rStyle w:val="15"/>
          <w:rFonts w:hint="eastAsia" w:ascii="宋体" w:hAnsi="宋体" w:cs="宋体"/>
          <w:color w:val="auto"/>
          <w:highlight w:val="none"/>
        </w:rPr>
        <w:t>响应文件</w:t>
      </w:r>
    </w:p>
    <w:p>
      <w:pPr>
        <w:pStyle w:val="11"/>
        <w:widowControl/>
        <w:spacing w:before="75" w:beforeAutospacing="0" w:after="75" w:afterAutospacing="0"/>
        <w:jc w:val="center"/>
        <w:rPr>
          <w:color w:val="auto"/>
          <w:highlight w:val="none"/>
        </w:rPr>
      </w:pPr>
      <w:r>
        <w:rPr>
          <w:rStyle w:val="15"/>
          <w:rFonts w:hint="eastAsia" w:ascii="宋体" w:hAnsi="宋体" w:cs="宋体"/>
          <w:color w:val="auto"/>
          <w:highlight w:val="none"/>
        </w:rPr>
        <w:t>（首次）</w:t>
      </w:r>
    </w:p>
    <w:p>
      <w:pPr>
        <w:pStyle w:val="11"/>
        <w:widowControl/>
        <w:spacing w:before="75" w:beforeAutospacing="0" w:after="75" w:afterAutospacing="0"/>
        <w:jc w:val="center"/>
        <w:rPr>
          <w:color w:val="auto"/>
          <w:highlight w:val="none"/>
        </w:rPr>
      </w:pPr>
      <w:r>
        <w:rPr>
          <w:rFonts w:hint="eastAsia" w:ascii="宋体" w:hAnsi="宋体" w:cs="宋体"/>
          <w:color w:val="auto"/>
          <w:sz w:val="30"/>
          <w:szCs w:val="30"/>
          <w:highlight w:val="none"/>
        </w:rPr>
        <w:t> </w:t>
      </w:r>
    </w:p>
    <w:p>
      <w:pPr>
        <w:pStyle w:val="11"/>
        <w:widowControl/>
        <w:spacing w:before="75" w:beforeAutospacing="0" w:after="75" w:afterAutospacing="0"/>
        <w:jc w:val="center"/>
        <w:rPr>
          <w:color w:val="auto"/>
          <w:highlight w:val="none"/>
        </w:rPr>
      </w:pPr>
      <w:r>
        <w:rPr>
          <w:rFonts w:hint="eastAsia" w:ascii="宋体" w:hAnsi="宋体" w:cs="宋体"/>
          <w:color w:val="auto"/>
          <w:sz w:val="30"/>
          <w:szCs w:val="30"/>
          <w:highlight w:val="none"/>
        </w:rPr>
        <w:t> </w:t>
      </w:r>
    </w:p>
    <w:p>
      <w:pPr>
        <w:pStyle w:val="11"/>
        <w:widowControl/>
        <w:spacing w:before="75" w:beforeAutospacing="0" w:after="75" w:afterAutospacing="0"/>
        <w:ind w:firstLine="1260"/>
        <w:rPr>
          <w:color w:val="auto"/>
          <w:highlight w:val="none"/>
        </w:rPr>
      </w:pPr>
      <w:r>
        <w:rPr>
          <w:rStyle w:val="15"/>
          <w:rFonts w:hint="eastAsia" w:ascii="宋体" w:hAnsi="宋体" w:cs="宋体"/>
          <w:color w:val="auto"/>
          <w:highlight w:val="none"/>
        </w:rPr>
        <w:t>项目名称：</w:t>
      </w:r>
      <w:r>
        <w:rPr>
          <w:rStyle w:val="15"/>
          <w:rFonts w:hint="eastAsia" w:ascii="宋体" w:hAnsi="宋体" w:cs="宋体"/>
          <w:color w:val="auto"/>
          <w:sz w:val="36"/>
          <w:szCs w:val="36"/>
          <w:highlight w:val="none"/>
          <w:u w:val="single"/>
        </w:rPr>
        <w:t>               </w:t>
      </w:r>
    </w:p>
    <w:p>
      <w:pPr>
        <w:pStyle w:val="11"/>
        <w:widowControl/>
        <w:spacing w:before="75" w:beforeAutospacing="0" w:after="75" w:afterAutospacing="0"/>
        <w:ind w:firstLine="1260"/>
        <w:rPr>
          <w:color w:val="auto"/>
          <w:highlight w:val="none"/>
        </w:rPr>
      </w:pPr>
      <w:r>
        <w:rPr>
          <w:rStyle w:val="15"/>
          <w:rFonts w:hint="eastAsia" w:ascii="宋体" w:hAnsi="宋体" w:cs="宋体"/>
          <w:color w:val="auto"/>
          <w:highlight w:val="none"/>
        </w:rPr>
        <w:t>项目编号：</w:t>
      </w:r>
      <w:r>
        <w:rPr>
          <w:rStyle w:val="15"/>
          <w:rFonts w:hint="eastAsia" w:ascii="宋体" w:hAnsi="宋体" w:cs="宋体"/>
          <w:color w:val="auto"/>
          <w:sz w:val="36"/>
          <w:szCs w:val="36"/>
          <w:highlight w:val="none"/>
          <w:u w:val="single"/>
        </w:rPr>
        <w:t>                    </w:t>
      </w:r>
    </w:p>
    <w:p>
      <w:pPr>
        <w:pStyle w:val="11"/>
        <w:widowControl/>
        <w:spacing w:before="75" w:beforeAutospacing="0" w:after="75" w:afterAutospacing="0"/>
        <w:ind w:firstLine="1260"/>
        <w:rPr>
          <w:color w:val="auto"/>
          <w:highlight w:val="none"/>
        </w:rPr>
      </w:pPr>
      <w:r>
        <w:rPr>
          <w:rStyle w:val="15"/>
          <w:rFonts w:hint="eastAsia" w:ascii="宋体" w:hAnsi="宋体" w:cs="宋体"/>
          <w:color w:val="auto"/>
          <w:highlight w:val="none"/>
        </w:rPr>
        <w:t>合同包</w:t>
      </w:r>
      <w:r>
        <w:rPr>
          <w:rStyle w:val="15"/>
          <w:rFonts w:hint="eastAsia" w:ascii="宋体" w:hAnsi="宋体" w:cs="宋体"/>
          <w:color w:val="auto"/>
          <w:sz w:val="36"/>
          <w:szCs w:val="36"/>
          <w:highlight w:val="none"/>
        </w:rPr>
        <w:t>: </w:t>
      </w:r>
      <w:r>
        <w:rPr>
          <w:rStyle w:val="15"/>
          <w:rFonts w:hint="eastAsia" w:ascii="宋体" w:hAnsi="宋体" w:cs="宋体"/>
          <w:color w:val="auto"/>
          <w:sz w:val="36"/>
          <w:szCs w:val="36"/>
          <w:highlight w:val="none"/>
          <w:u w:val="single"/>
        </w:rPr>
        <w:t>                    </w:t>
      </w:r>
    </w:p>
    <w:p>
      <w:pPr>
        <w:pStyle w:val="11"/>
        <w:widowControl/>
        <w:spacing w:before="75" w:beforeAutospacing="0" w:after="75" w:afterAutospacing="0"/>
        <w:jc w:val="center"/>
        <w:rPr>
          <w:color w:val="auto"/>
          <w:highlight w:val="none"/>
        </w:rPr>
      </w:pPr>
      <w:r>
        <w:rPr>
          <w:rStyle w:val="15"/>
          <w:rFonts w:hint="eastAsia" w:ascii="宋体" w:hAnsi="宋体" w:cs="宋体"/>
          <w:color w:val="auto"/>
          <w:sz w:val="36"/>
          <w:szCs w:val="36"/>
          <w:highlight w:val="none"/>
        </w:rPr>
        <w:t> </w:t>
      </w:r>
    </w:p>
    <w:p>
      <w:pPr>
        <w:pStyle w:val="11"/>
        <w:widowControl/>
        <w:spacing w:before="75" w:beforeAutospacing="0" w:after="75" w:afterAutospacing="0"/>
        <w:jc w:val="center"/>
        <w:rPr>
          <w:color w:val="auto"/>
          <w:highlight w:val="none"/>
        </w:rPr>
      </w:pPr>
      <w:r>
        <w:rPr>
          <w:rStyle w:val="15"/>
          <w:rFonts w:hint="eastAsia" w:ascii="宋体" w:hAnsi="宋体" w:cs="宋体"/>
          <w:color w:val="auto"/>
          <w:sz w:val="36"/>
          <w:szCs w:val="36"/>
          <w:highlight w:val="none"/>
        </w:rPr>
        <w:t> </w:t>
      </w:r>
    </w:p>
    <w:p>
      <w:pPr>
        <w:pStyle w:val="11"/>
        <w:widowControl/>
        <w:spacing w:before="75" w:beforeAutospacing="0" w:after="75" w:afterAutospacing="0"/>
        <w:rPr>
          <w:rStyle w:val="15"/>
          <w:rFonts w:hint="eastAsia" w:ascii="宋体" w:hAnsi="宋体" w:cs="宋体"/>
          <w:color w:val="auto"/>
          <w:sz w:val="36"/>
          <w:szCs w:val="36"/>
          <w:highlight w:val="none"/>
        </w:rPr>
      </w:pPr>
    </w:p>
    <w:p>
      <w:pPr>
        <w:pStyle w:val="11"/>
        <w:widowControl/>
        <w:spacing w:before="75" w:beforeAutospacing="0" w:after="75" w:afterAutospacing="0"/>
        <w:rPr>
          <w:color w:val="auto"/>
          <w:highlight w:val="none"/>
        </w:rPr>
      </w:pPr>
      <w:r>
        <w:rPr>
          <w:rStyle w:val="15"/>
          <w:rFonts w:hint="eastAsia" w:ascii="宋体" w:hAnsi="宋体" w:cs="宋体"/>
          <w:color w:val="auto"/>
          <w:sz w:val="36"/>
          <w:szCs w:val="36"/>
          <w:highlight w:val="none"/>
        </w:rPr>
        <w:t> </w:t>
      </w:r>
    </w:p>
    <w:p>
      <w:pPr>
        <w:pStyle w:val="11"/>
        <w:widowControl/>
        <w:spacing w:before="75" w:beforeAutospacing="0" w:after="75" w:afterAutospacing="0"/>
        <w:rPr>
          <w:color w:val="auto"/>
          <w:highlight w:val="none"/>
        </w:rPr>
      </w:pPr>
      <w:r>
        <w:rPr>
          <w:rStyle w:val="15"/>
          <w:rFonts w:hint="eastAsia" w:ascii="宋体" w:hAnsi="宋体" w:cs="宋体"/>
          <w:color w:val="auto"/>
          <w:sz w:val="36"/>
          <w:szCs w:val="36"/>
          <w:highlight w:val="none"/>
        </w:rPr>
        <w:t> </w:t>
      </w:r>
    </w:p>
    <w:p>
      <w:pPr>
        <w:pStyle w:val="11"/>
        <w:widowControl/>
        <w:spacing w:before="75" w:beforeAutospacing="0" w:after="75" w:afterAutospacing="0"/>
        <w:rPr>
          <w:color w:val="auto"/>
          <w:highlight w:val="none"/>
        </w:rPr>
      </w:pPr>
      <w:r>
        <w:rPr>
          <w:rStyle w:val="15"/>
          <w:rFonts w:hint="eastAsia" w:ascii="宋体" w:hAnsi="宋体" w:cs="宋体"/>
          <w:color w:val="auto"/>
          <w:sz w:val="36"/>
          <w:szCs w:val="36"/>
          <w:highlight w:val="none"/>
        </w:rPr>
        <w:t>    </w:t>
      </w:r>
      <w:r>
        <w:rPr>
          <w:rStyle w:val="15"/>
          <w:rFonts w:hint="eastAsia" w:ascii="宋体" w:hAnsi="宋体" w:cs="宋体"/>
          <w:color w:val="auto"/>
          <w:highlight w:val="none"/>
        </w:rPr>
        <w:t>供应商名称 ：</w:t>
      </w:r>
      <w:r>
        <w:rPr>
          <w:rStyle w:val="15"/>
          <w:rFonts w:hint="eastAsia" w:ascii="宋体" w:hAnsi="宋体" w:cs="宋体"/>
          <w:color w:val="auto"/>
          <w:highlight w:val="none"/>
          <w:u w:val="single"/>
        </w:rPr>
        <w:t>               </w:t>
      </w:r>
    </w:p>
    <w:p>
      <w:pPr>
        <w:pStyle w:val="11"/>
        <w:widowControl/>
        <w:spacing w:before="75" w:beforeAutospacing="0" w:after="75" w:afterAutospacing="0"/>
        <w:rPr>
          <w:color w:val="auto"/>
          <w:highlight w:val="none"/>
        </w:rPr>
      </w:pPr>
      <w:r>
        <w:rPr>
          <w:rStyle w:val="15"/>
          <w:rFonts w:hint="eastAsia" w:ascii="宋体" w:hAnsi="宋体" w:cs="宋体"/>
          <w:color w:val="auto"/>
          <w:sz w:val="36"/>
          <w:szCs w:val="36"/>
          <w:highlight w:val="none"/>
        </w:rPr>
        <w:t>    </w:t>
      </w:r>
      <w:r>
        <w:rPr>
          <w:rStyle w:val="15"/>
          <w:rFonts w:hint="eastAsia" w:ascii="宋体" w:hAnsi="宋体" w:cs="宋体"/>
          <w:color w:val="auto"/>
          <w:highlight w:val="none"/>
        </w:rPr>
        <w:t>日   期 ：</w:t>
      </w:r>
      <w:r>
        <w:rPr>
          <w:rStyle w:val="15"/>
          <w:rFonts w:hint="eastAsia" w:ascii="宋体" w:hAnsi="宋体" w:cs="宋体"/>
          <w:color w:val="auto"/>
          <w:highlight w:val="none"/>
          <w:u w:val="single"/>
        </w:rPr>
        <w:t>               </w:t>
      </w:r>
    </w:p>
    <w:p>
      <w:pPr>
        <w:pStyle w:val="11"/>
        <w:widowControl/>
        <w:spacing w:before="75" w:beforeAutospacing="0" w:after="75" w:afterAutospacing="0"/>
        <w:jc w:val="center"/>
        <w:rPr>
          <w:rStyle w:val="15"/>
          <w:rFonts w:hint="eastAsia" w:ascii="宋体" w:hAnsi="宋体" w:cs="宋体"/>
          <w:color w:val="auto"/>
          <w:highlight w:val="none"/>
          <w:u w:val="single"/>
        </w:rPr>
      </w:pPr>
    </w:p>
    <w:p>
      <w:pPr>
        <w:pStyle w:val="11"/>
        <w:widowControl/>
        <w:spacing w:before="75" w:beforeAutospacing="0" w:after="75" w:afterAutospacing="0"/>
        <w:jc w:val="center"/>
        <w:rPr>
          <w:rStyle w:val="15"/>
          <w:rFonts w:hint="eastAsia" w:ascii="宋体" w:hAnsi="宋体" w:cs="宋体"/>
          <w:color w:val="auto"/>
          <w:highlight w:val="none"/>
          <w:u w:val="single"/>
        </w:rPr>
      </w:pPr>
    </w:p>
    <w:p>
      <w:pPr>
        <w:pStyle w:val="11"/>
        <w:widowControl/>
        <w:spacing w:before="75" w:beforeAutospacing="0" w:after="75" w:afterAutospacing="0"/>
        <w:jc w:val="center"/>
        <w:rPr>
          <w:rStyle w:val="15"/>
          <w:rFonts w:hint="eastAsia" w:ascii="宋体" w:hAnsi="宋体" w:cs="宋体"/>
          <w:color w:val="auto"/>
          <w:highlight w:val="none"/>
          <w:u w:val="single"/>
        </w:rPr>
      </w:pPr>
    </w:p>
    <w:p>
      <w:pPr>
        <w:pStyle w:val="11"/>
        <w:widowControl/>
        <w:spacing w:before="75" w:beforeAutospacing="0" w:after="75" w:afterAutospacing="0"/>
        <w:jc w:val="center"/>
        <w:rPr>
          <w:rStyle w:val="15"/>
          <w:rFonts w:hint="eastAsia" w:ascii="宋体" w:hAnsi="宋体" w:cs="宋体"/>
          <w:color w:val="auto"/>
          <w:highlight w:val="none"/>
          <w:u w:val="single"/>
        </w:rPr>
      </w:pPr>
    </w:p>
    <w:p>
      <w:pPr>
        <w:rPr>
          <w:rStyle w:val="15"/>
          <w:rFonts w:hint="eastAsia" w:ascii="宋体" w:hAnsi="宋体" w:cs="宋体"/>
          <w:color w:val="auto"/>
          <w:sz w:val="24"/>
          <w:highlight w:val="none"/>
          <w:u w:val="single"/>
        </w:rPr>
      </w:pPr>
      <w:r>
        <w:rPr>
          <w:rStyle w:val="15"/>
          <w:rFonts w:hint="eastAsia" w:ascii="宋体" w:hAnsi="宋体" w:cs="宋体"/>
          <w:color w:val="auto"/>
          <w:sz w:val="24"/>
          <w:highlight w:val="none"/>
          <w:u w:val="single"/>
        </w:rPr>
        <w:br w:type="page"/>
      </w:r>
    </w:p>
    <w:p>
      <w:pPr>
        <w:pStyle w:val="11"/>
        <w:widowControl/>
        <w:spacing w:before="75" w:beforeAutospacing="0" w:after="75" w:afterAutospacing="0"/>
        <w:jc w:val="center"/>
        <w:rPr>
          <w:color w:val="auto"/>
          <w:highlight w:val="none"/>
        </w:rPr>
      </w:pPr>
      <w:r>
        <w:rPr>
          <w:rStyle w:val="15"/>
          <w:rFonts w:hint="eastAsia" w:ascii="宋体" w:hAnsi="宋体" w:cs="宋体"/>
          <w:color w:val="auto"/>
          <w:sz w:val="36"/>
          <w:szCs w:val="36"/>
          <w:highlight w:val="none"/>
        </w:rPr>
        <w:t>目  录</w:t>
      </w:r>
    </w:p>
    <w:p>
      <w:pPr>
        <w:pStyle w:val="11"/>
        <w:widowControl/>
        <w:spacing w:before="75" w:beforeAutospacing="0" w:after="75" w:afterAutospacing="0" w:line="465" w:lineRule="atLeast"/>
        <w:rPr>
          <w:color w:val="auto"/>
          <w:highlight w:val="none"/>
        </w:rPr>
      </w:pPr>
      <w:r>
        <w:rPr>
          <w:color w:val="auto"/>
          <w:highlight w:val="none"/>
        </w:rPr>
        <w:t> </w:t>
      </w:r>
    </w:p>
    <w:p>
      <w:pPr>
        <w:pStyle w:val="11"/>
        <w:widowControl/>
        <w:spacing w:before="75" w:beforeAutospacing="0" w:after="75" w:afterAutospacing="0" w:line="465" w:lineRule="atLeast"/>
        <w:rPr>
          <w:color w:val="auto"/>
          <w:highlight w:val="none"/>
        </w:rPr>
      </w:pPr>
      <w:r>
        <w:rPr>
          <w:rFonts w:hint="eastAsia" w:ascii="宋体" w:hAnsi="宋体" w:cs="宋体"/>
          <w:color w:val="auto"/>
          <w:highlight w:val="none"/>
        </w:rPr>
        <w:t>附件1：响应函</w:t>
      </w:r>
    </w:p>
    <w:p>
      <w:pPr>
        <w:pStyle w:val="11"/>
        <w:widowControl/>
        <w:spacing w:before="75" w:beforeAutospacing="0" w:after="75" w:afterAutospacing="0" w:line="465" w:lineRule="atLeast"/>
        <w:rPr>
          <w:color w:val="auto"/>
          <w:highlight w:val="none"/>
        </w:rPr>
      </w:pPr>
      <w:r>
        <w:rPr>
          <w:rFonts w:hint="eastAsia" w:ascii="宋体" w:hAnsi="宋体" w:cs="宋体"/>
          <w:color w:val="auto"/>
          <w:highlight w:val="none"/>
        </w:rPr>
        <w:t>附件2：开标（报价）一览表（含投标（响应）报价明细表）</w:t>
      </w:r>
    </w:p>
    <w:p>
      <w:pPr>
        <w:pStyle w:val="11"/>
        <w:widowControl/>
        <w:spacing w:before="75" w:beforeAutospacing="0" w:after="75" w:afterAutospacing="0" w:line="465" w:lineRule="atLeast"/>
        <w:rPr>
          <w:color w:val="auto"/>
          <w:highlight w:val="none"/>
        </w:rPr>
      </w:pPr>
      <w:r>
        <w:rPr>
          <w:rFonts w:hint="eastAsia" w:ascii="宋体" w:hAnsi="宋体" w:cs="宋体"/>
          <w:color w:val="auto"/>
          <w:highlight w:val="none"/>
        </w:rPr>
        <w:t>附件3：资格证明文件</w:t>
      </w:r>
    </w:p>
    <w:p>
      <w:pPr>
        <w:pStyle w:val="11"/>
        <w:widowControl/>
        <w:spacing w:before="75" w:beforeAutospacing="0" w:after="75" w:afterAutospacing="0" w:line="465" w:lineRule="atLeast"/>
        <w:rPr>
          <w:color w:val="auto"/>
          <w:highlight w:val="none"/>
        </w:rPr>
      </w:pPr>
      <w:r>
        <w:rPr>
          <w:rFonts w:hint="eastAsia" w:ascii="宋体" w:hAnsi="宋体" w:cs="宋体"/>
          <w:color w:val="auto"/>
          <w:highlight w:val="none"/>
        </w:rPr>
        <w:t>附件4：磋商保证金凭证</w:t>
      </w:r>
    </w:p>
    <w:p>
      <w:pPr>
        <w:pStyle w:val="11"/>
        <w:widowControl/>
        <w:spacing w:before="75" w:beforeAutospacing="0" w:after="75" w:afterAutospacing="0" w:line="465" w:lineRule="atLeast"/>
        <w:rPr>
          <w:color w:val="auto"/>
          <w:highlight w:val="none"/>
        </w:rPr>
      </w:pPr>
      <w:r>
        <w:rPr>
          <w:rFonts w:hint="eastAsia" w:ascii="宋体" w:hAnsi="宋体" w:cs="宋体"/>
          <w:color w:val="auto"/>
          <w:highlight w:val="none"/>
        </w:rPr>
        <w:t>附件5：技术和商务偏离表</w:t>
      </w:r>
    </w:p>
    <w:p>
      <w:pPr>
        <w:pStyle w:val="11"/>
        <w:widowControl/>
        <w:spacing w:before="75" w:beforeAutospacing="0" w:after="75" w:afterAutospacing="0" w:line="465" w:lineRule="atLeast"/>
        <w:rPr>
          <w:color w:val="auto"/>
          <w:highlight w:val="none"/>
        </w:rPr>
      </w:pPr>
      <w:r>
        <w:rPr>
          <w:rFonts w:hint="eastAsia" w:ascii="宋体" w:hAnsi="宋体" w:cs="宋体"/>
          <w:color w:val="auto"/>
          <w:highlight w:val="none"/>
        </w:rPr>
        <w:t>附件6：相关技术、商务、服务响应承诺及资料</w:t>
      </w:r>
    </w:p>
    <w:p>
      <w:pPr>
        <w:pStyle w:val="11"/>
        <w:widowControl/>
        <w:spacing w:before="75" w:beforeAutospacing="0" w:after="75" w:afterAutospacing="0" w:line="465" w:lineRule="atLeast"/>
        <w:rPr>
          <w:rFonts w:hint="eastAsia" w:ascii="宋体" w:hAnsi="宋体" w:cs="宋体"/>
          <w:color w:val="auto"/>
          <w:highlight w:val="none"/>
        </w:rPr>
      </w:pPr>
      <w:r>
        <w:rPr>
          <w:rFonts w:hint="eastAsia" w:ascii="宋体" w:hAnsi="宋体" w:cs="宋体"/>
          <w:color w:val="auto"/>
          <w:highlight w:val="none"/>
        </w:rPr>
        <w:t>附件7：要求作为响应文件组成部分的其他内容（若有）</w:t>
      </w:r>
    </w:p>
    <w:p>
      <w:pPr>
        <w:pStyle w:val="11"/>
        <w:widowControl/>
        <w:spacing w:before="75" w:beforeAutospacing="0" w:after="75" w:afterAutospacing="0" w:line="465" w:lineRule="atLeast"/>
        <w:rPr>
          <w:color w:val="auto"/>
          <w:highlight w:val="none"/>
        </w:rPr>
      </w:pPr>
    </w:p>
    <w:p>
      <w:pPr>
        <w:pStyle w:val="11"/>
        <w:widowControl/>
        <w:spacing w:before="75" w:beforeAutospacing="0" w:after="75" w:afterAutospacing="0" w:line="465" w:lineRule="atLeast"/>
        <w:rPr>
          <w:color w:val="auto"/>
          <w:highlight w:val="none"/>
        </w:rPr>
      </w:pPr>
      <w:r>
        <w:rPr>
          <w:color w:val="auto"/>
          <w:highlight w:val="none"/>
        </w:rPr>
        <w:t> </w:t>
      </w:r>
    </w:p>
    <w:p>
      <w:pPr>
        <w:pStyle w:val="11"/>
        <w:widowControl/>
        <w:spacing w:before="75" w:beforeAutospacing="0" w:after="240" w:afterAutospacing="0" w:line="495" w:lineRule="atLeast"/>
        <w:rPr>
          <w:color w:val="auto"/>
          <w:highlight w:val="none"/>
        </w:rPr>
      </w:pPr>
      <w:r>
        <w:rPr>
          <w:rFonts w:hint="eastAsia" w:ascii="宋体" w:hAnsi="宋体" w:cs="宋体"/>
          <w:color w:val="auto"/>
          <w:highlight w:val="none"/>
        </w:rPr>
        <w:t> </w:t>
      </w:r>
    </w:p>
    <w:p>
      <w:pPr>
        <w:pStyle w:val="11"/>
        <w:widowControl/>
        <w:spacing w:before="75" w:beforeAutospacing="0" w:after="75" w:afterAutospacing="0" w:line="495" w:lineRule="atLeast"/>
        <w:rPr>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附件1</w:t>
      </w:r>
      <w:r>
        <w:rPr>
          <w:rFonts w:hint="eastAsia" w:ascii="宋体" w:hAnsi="宋体" w:cs="宋体"/>
          <w:color w:val="auto"/>
          <w:sz w:val="21"/>
          <w:szCs w:val="21"/>
          <w:highlight w:val="none"/>
        </w:rPr>
        <w:t> </w:t>
      </w:r>
      <w:r>
        <w:rPr>
          <w:rFonts w:hint="eastAsia" w:ascii="宋体" w:hAnsi="宋体" w:cs="宋体"/>
          <w:color w:val="auto"/>
          <w:sz w:val="28"/>
          <w:szCs w:val="28"/>
          <w:highlight w:val="none"/>
        </w:rPr>
        <w:t>           </w:t>
      </w:r>
      <w:r>
        <w:rPr>
          <w:rStyle w:val="15"/>
          <w:rFonts w:hint="eastAsia" w:ascii="宋体" w:hAnsi="宋体" w:cs="宋体"/>
          <w:color w:val="auto"/>
          <w:sz w:val="36"/>
          <w:szCs w:val="36"/>
          <w:highlight w:val="none"/>
        </w:rPr>
        <w:t>磋商响应声明</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致：</w:t>
      </w:r>
      <w:r>
        <w:rPr>
          <w:rFonts w:hint="eastAsia" w:ascii="宋体" w:hAnsi="宋体" w:cs="宋体"/>
          <w:color w:val="auto"/>
          <w:highlight w:val="none"/>
          <w:u w:val="single"/>
        </w:rPr>
        <w:t>     (招标人或招标代理机构)       </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1.根据贵方为</w:t>
      </w:r>
      <w:r>
        <w:rPr>
          <w:rFonts w:hint="eastAsia" w:ascii="宋体" w:hAnsi="宋体" w:cs="宋体"/>
          <w:color w:val="auto"/>
          <w:highlight w:val="none"/>
          <w:u w:val="single"/>
        </w:rPr>
        <w:t>            </w:t>
      </w:r>
      <w:r>
        <w:rPr>
          <w:rFonts w:hint="eastAsia" w:ascii="宋体" w:hAnsi="宋体" w:cs="宋体"/>
          <w:color w:val="auto"/>
          <w:highlight w:val="none"/>
        </w:rPr>
        <w:t>项目（项目编号:</w:t>
      </w:r>
      <w:r>
        <w:rPr>
          <w:rFonts w:hint="eastAsia" w:ascii="宋体" w:hAnsi="宋体" w:cs="宋体"/>
          <w:color w:val="auto"/>
          <w:highlight w:val="none"/>
          <w:u w:val="single"/>
        </w:rPr>
        <w:t>        </w:t>
      </w:r>
      <w:r>
        <w:rPr>
          <w:rFonts w:hint="eastAsia" w:ascii="宋体" w:hAnsi="宋体" w:cs="宋体"/>
          <w:color w:val="auto"/>
          <w:highlight w:val="none"/>
        </w:rPr>
        <w:t>）的招标公告（或招标邀请书），我方签字代表</w:t>
      </w:r>
      <w:r>
        <w:rPr>
          <w:rFonts w:hint="eastAsia" w:ascii="宋体" w:hAnsi="宋体" w:cs="宋体"/>
          <w:color w:val="auto"/>
          <w:highlight w:val="none"/>
          <w:u w:val="single"/>
        </w:rPr>
        <w:t>          （全名、职务） </w:t>
      </w:r>
      <w:r>
        <w:rPr>
          <w:rFonts w:hint="eastAsia" w:ascii="宋体" w:hAnsi="宋体" w:cs="宋体"/>
          <w:color w:val="auto"/>
          <w:highlight w:val="none"/>
        </w:rPr>
        <w:t>经正式授权并代表的供应商</w:t>
      </w:r>
      <w:r>
        <w:rPr>
          <w:rFonts w:hint="eastAsia" w:ascii="宋体" w:hAnsi="宋体" w:cs="宋体"/>
          <w:color w:val="auto"/>
          <w:highlight w:val="none"/>
          <w:u w:val="single"/>
        </w:rPr>
        <w:t>          （供应商名称、地址）    </w:t>
      </w:r>
      <w:r>
        <w:rPr>
          <w:rFonts w:hint="eastAsia" w:ascii="宋体" w:hAnsi="宋体" w:cs="宋体"/>
          <w:color w:val="auto"/>
          <w:highlight w:val="none"/>
        </w:rPr>
        <w:t>提交包含下述内容的首次响应文件纸质文本正本</w:t>
      </w:r>
      <w:r>
        <w:rPr>
          <w:rFonts w:hint="eastAsia" w:ascii="宋体" w:hAnsi="宋体" w:cs="宋体"/>
          <w:color w:val="auto"/>
          <w:highlight w:val="none"/>
          <w:u w:val="single"/>
        </w:rPr>
        <w:t>       </w:t>
      </w:r>
      <w:r>
        <w:rPr>
          <w:rFonts w:hint="eastAsia" w:ascii="宋体" w:hAnsi="宋体" w:cs="宋体"/>
          <w:color w:val="auto"/>
          <w:highlight w:val="none"/>
        </w:rPr>
        <w:t>套，副本</w:t>
      </w:r>
      <w:r>
        <w:rPr>
          <w:rFonts w:hint="eastAsia" w:ascii="宋体" w:hAnsi="宋体" w:cs="宋体"/>
          <w:color w:val="auto"/>
          <w:highlight w:val="none"/>
          <w:u w:val="single"/>
        </w:rPr>
        <w:t>      </w:t>
      </w:r>
      <w:r>
        <w:rPr>
          <w:rFonts w:hint="eastAsia" w:ascii="宋体" w:hAnsi="宋体" w:cs="宋体"/>
          <w:color w:val="auto"/>
          <w:highlight w:val="none"/>
        </w:rPr>
        <w:t>套及电子文档</w:t>
      </w:r>
      <w:r>
        <w:rPr>
          <w:rFonts w:hint="eastAsia" w:ascii="宋体" w:hAnsi="宋体" w:cs="宋体"/>
          <w:color w:val="auto"/>
          <w:highlight w:val="none"/>
          <w:u w:val="single"/>
        </w:rPr>
        <w:t>        </w:t>
      </w:r>
      <w:r>
        <w:rPr>
          <w:rFonts w:hint="eastAsia" w:ascii="宋体" w:hAnsi="宋体" w:cs="宋体"/>
          <w:color w:val="auto"/>
          <w:highlight w:val="none"/>
        </w:rPr>
        <w:t>套。</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（1）响应函</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（2）开标（报价）一览表（含投标（响应）报价明细表）</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（3）资格证明文件</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（4）磋商保证金凭证</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（5）技术和商务偏离表</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（6）相关技术、商务、服务响应承诺及资料</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（7）按照磋商文件规定，要求作为响应文件组成部分的其他内容（若有）</w:t>
      </w:r>
    </w:p>
    <w:p>
      <w:pPr>
        <w:pStyle w:val="11"/>
        <w:widowControl/>
        <w:spacing w:before="75" w:beforeAutospacing="0" w:after="75" w:afterAutospacing="0" w:line="435" w:lineRule="atLeast"/>
        <w:ind w:firstLine="480"/>
        <w:rPr>
          <w:rFonts w:hint="eastAsia" w:ascii="宋体" w:hAnsi="宋体" w:cs="宋体"/>
          <w:color w:val="auto"/>
          <w:highlight w:val="none"/>
          <w:lang w:eastAsia="zh-Hans"/>
        </w:rPr>
      </w:pPr>
      <w:r>
        <w:rPr>
          <w:rFonts w:hint="eastAsia" w:ascii="宋体" w:hAnsi="宋体" w:cs="宋体"/>
          <w:color w:val="auto"/>
          <w:highlight w:val="none"/>
          <w:lang w:eastAsia="zh-Hans"/>
        </w:rPr>
        <w:t>2.据此函，我方宣布响应承诺如下：</w:t>
      </w:r>
    </w:p>
    <w:p>
      <w:pPr>
        <w:pStyle w:val="11"/>
        <w:widowControl/>
        <w:spacing w:before="75" w:beforeAutospacing="0" w:after="75" w:afterAutospacing="0" w:line="435" w:lineRule="atLeast"/>
        <w:ind w:firstLine="480"/>
        <w:rPr>
          <w:rFonts w:hint="eastAsia" w:ascii="宋体" w:hAnsi="宋体" w:cs="宋体"/>
          <w:color w:val="auto"/>
          <w:highlight w:val="none"/>
          <w:lang w:eastAsia="zh-Hans"/>
        </w:rPr>
      </w:pPr>
      <w:r>
        <w:rPr>
          <w:rFonts w:hint="eastAsia" w:ascii="宋体" w:hAnsi="宋体" w:cs="宋体"/>
          <w:color w:val="auto"/>
          <w:highlight w:val="none"/>
          <w:lang w:eastAsia="zh-Hans"/>
        </w:rPr>
        <w:t>2.1我方已详细审查全部竞争性磋商文件，包括澄清、修改、补充或更正文件（如有的话）和有关附件，我方完全熟悉和理解其中的要求、条款和条件，且无任何异议。除了我方已在技术和商务偏离表中列出的负偏差和不响应外，我方承诺将按竞争性磋商文件的各项规定履行合同责任和义务。竞争性磋商文件及其附件资料如果有涉及应当保密的内容， 我方将严格遵守规定，不将应当保密的内容泄密给第三方或另作它用，如有违反，采购人可依法追究我方的法律责任。</w:t>
      </w:r>
    </w:p>
    <w:p>
      <w:pPr>
        <w:pStyle w:val="11"/>
        <w:widowControl/>
        <w:spacing w:before="75" w:beforeAutospacing="0" w:after="75" w:afterAutospacing="0" w:line="435" w:lineRule="atLeast"/>
        <w:ind w:firstLine="480"/>
        <w:rPr>
          <w:rFonts w:hint="eastAsia" w:ascii="宋体" w:hAnsi="宋体" w:cs="宋体"/>
          <w:color w:val="auto"/>
          <w:highlight w:val="none"/>
          <w:lang w:eastAsia="zh-Hans"/>
        </w:rPr>
      </w:pPr>
      <w:r>
        <w:rPr>
          <w:rFonts w:hint="eastAsia" w:ascii="宋体" w:hAnsi="宋体" w:cs="宋体"/>
          <w:color w:val="auto"/>
          <w:highlight w:val="none"/>
          <w:lang w:eastAsia="zh-Hans"/>
        </w:rPr>
        <w:t>2.2一旦我方获得成交，我方将按照竞争性磋商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磋商文件的要求， 并在规定的期限内与采购人签订合同。</w:t>
      </w:r>
    </w:p>
    <w:p>
      <w:pPr>
        <w:pStyle w:val="11"/>
        <w:widowControl/>
        <w:spacing w:before="75" w:beforeAutospacing="0" w:after="75" w:afterAutospacing="0" w:line="435" w:lineRule="atLeast"/>
        <w:ind w:firstLine="480"/>
        <w:rPr>
          <w:rFonts w:hint="eastAsia" w:ascii="宋体" w:hAnsi="宋体" w:cs="宋体"/>
          <w:color w:val="auto"/>
          <w:highlight w:val="none"/>
          <w:lang w:eastAsia="zh-Hans"/>
        </w:rPr>
      </w:pPr>
      <w:r>
        <w:rPr>
          <w:rFonts w:hint="eastAsia" w:ascii="宋体" w:hAnsi="宋体" w:cs="宋体"/>
          <w:color w:val="auto"/>
          <w:highlight w:val="none"/>
          <w:lang w:eastAsia="zh-Hans"/>
        </w:rPr>
        <w:t>2.3我方承诺：递交的所有响应文件（包括首次响应文件、补充澄清、最后报价等响应文件）在竞争性磋商须知前附表第4项规定的响应文件有效期内始终保持有效，我方将受此约束。我方对响应文件中的所有承诺、声明、数据和资料的真实性、准确性、合法性、有效性负责；我方响应文件中有关复印件或扫描件资料均与原件一致。 如有违反，我方将承担法律责任和后果。</w:t>
      </w:r>
    </w:p>
    <w:p>
      <w:pPr>
        <w:pStyle w:val="11"/>
        <w:widowControl/>
        <w:spacing w:before="75" w:beforeAutospacing="0" w:after="75" w:afterAutospacing="0" w:line="435" w:lineRule="atLeast"/>
        <w:ind w:firstLine="480"/>
        <w:rPr>
          <w:rFonts w:hint="eastAsia" w:ascii="宋体" w:hAnsi="宋体" w:cs="宋体"/>
          <w:color w:val="auto"/>
          <w:highlight w:val="none"/>
          <w:lang w:eastAsia="zh-Hans"/>
        </w:rPr>
      </w:pPr>
      <w:r>
        <w:rPr>
          <w:rFonts w:hint="eastAsia" w:ascii="宋体" w:hAnsi="宋体" w:cs="宋体"/>
          <w:color w:val="auto"/>
          <w:highlight w:val="none"/>
          <w:lang w:eastAsia="zh-Hans"/>
        </w:rPr>
        <w:t>2.4我方已经按照磋商文件要求提交磋商保证金，磋商保证金有效期与响应文件有效期一致，我方如果发生任何竞争性磋商文件中所述不予退还磋商保证金的情况， 则我方的磋商保证金将被贵方不予退还，我方对此无异议。磋商保证金或保函有效期与响应文件有效期保持一致。</w:t>
      </w:r>
    </w:p>
    <w:p>
      <w:pPr>
        <w:pStyle w:val="11"/>
        <w:widowControl/>
        <w:spacing w:before="75" w:beforeAutospacing="0" w:after="75" w:afterAutospacing="0" w:line="435" w:lineRule="atLeast"/>
        <w:ind w:firstLine="480"/>
        <w:rPr>
          <w:rFonts w:hint="eastAsia" w:ascii="宋体" w:hAnsi="宋体" w:cs="宋体"/>
          <w:color w:val="auto"/>
          <w:highlight w:val="none"/>
          <w:lang w:eastAsia="zh-Hans"/>
        </w:rPr>
      </w:pPr>
      <w:r>
        <w:rPr>
          <w:rFonts w:hint="eastAsia" w:ascii="宋体" w:hAnsi="宋体" w:cs="宋体"/>
          <w:color w:val="auto"/>
          <w:highlight w:val="none"/>
          <w:lang w:eastAsia="zh-Hans"/>
        </w:rPr>
        <w:t>2.5我方愿意向贵方提供任何与本项目磋商采购有关的数据或资料。若贵方需要，我方愿意提供我方作出的一切承诺的证明材料。</w:t>
      </w:r>
    </w:p>
    <w:p>
      <w:pPr>
        <w:pStyle w:val="11"/>
        <w:widowControl/>
        <w:spacing w:before="75" w:beforeAutospacing="0" w:after="75" w:afterAutospacing="0" w:line="435" w:lineRule="atLeast"/>
        <w:ind w:firstLine="480"/>
        <w:rPr>
          <w:rFonts w:hint="eastAsia" w:ascii="宋体" w:hAnsi="宋体" w:cs="宋体"/>
          <w:color w:val="auto"/>
          <w:highlight w:val="none"/>
          <w:lang w:eastAsia="zh-Hans"/>
        </w:rPr>
      </w:pPr>
      <w:r>
        <w:rPr>
          <w:rFonts w:hint="eastAsia" w:ascii="宋体" w:hAnsi="宋体" w:cs="宋体"/>
          <w:color w:val="auto"/>
          <w:highlight w:val="none"/>
          <w:lang w:eastAsia="zh-Hans"/>
        </w:rPr>
        <w:t>2.6我方联系方式、电子信箱和通信地址等信息如下，用于接受贵方发出的与本次磋商活动有关的一切往来信息或通知（包括补充、澄清和成交通知等），我方自行承担信息错误、通讯设备故障或延误查收信息给我方带来的后果和责任。 贵方按我方写明的下述联系方式、电子信箱或通信地址发出任何信息或通知，均视同为我方已收悉并知晓，我方均予以认可。</w:t>
      </w:r>
    </w:p>
    <w:p>
      <w:pPr>
        <w:pStyle w:val="11"/>
        <w:widowControl/>
        <w:spacing w:before="75" w:beforeAutospacing="0" w:after="75" w:afterAutospacing="0" w:line="435" w:lineRule="atLeast"/>
        <w:ind w:firstLine="480"/>
        <w:rPr>
          <w:rFonts w:hint="eastAsia" w:ascii="宋体" w:hAnsi="宋体" w:cs="宋体"/>
          <w:color w:val="auto"/>
          <w:highlight w:val="none"/>
          <w:lang w:eastAsia="zh-Hans"/>
        </w:rPr>
      </w:pPr>
      <w:r>
        <w:rPr>
          <w:rFonts w:hint="eastAsia" w:ascii="宋体" w:hAnsi="宋体" w:cs="宋体"/>
          <w:color w:val="auto"/>
          <w:highlight w:val="none"/>
          <w:lang w:eastAsia="zh-Hans"/>
        </w:rPr>
        <w:t>2.7我方承诺遵守《中华人民共和国劳动合同法》有关规定和《中华人民共和国妇女权益保障法》中关于“劳动和社会保障权益”的有关要求。</w:t>
      </w:r>
    </w:p>
    <w:p>
      <w:pPr>
        <w:pStyle w:val="11"/>
        <w:widowControl/>
        <w:spacing w:before="75" w:beforeAutospacing="0" w:after="75" w:afterAutospacing="0" w:line="435" w:lineRule="atLeast"/>
        <w:ind w:firstLine="480"/>
        <w:rPr>
          <w:rFonts w:hint="eastAsia" w:ascii="宋体" w:hAnsi="宋体" w:cs="宋体"/>
          <w:color w:val="auto"/>
          <w:highlight w:val="none"/>
          <w:lang w:eastAsia="zh-Hans"/>
        </w:rPr>
      </w:pPr>
      <w:r>
        <w:rPr>
          <w:rFonts w:hint="eastAsia" w:ascii="宋体" w:hAnsi="宋体" w:cs="宋体"/>
          <w:color w:val="auto"/>
          <w:highlight w:val="none"/>
          <w:lang w:eastAsia="zh-Hans"/>
        </w:rPr>
        <w:t>2.8我方承诺响应文件所提供的全部资料真实可靠，并接受磋商小组、采购人、采购代理机构、监管部门进一步审查其中任何资料真实性的要求。</w:t>
      </w:r>
    </w:p>
    <w:p>
      <w:pPr>
        <w:pStyle w:val="11"/>
        <w:widowControl/>
        <w:spacing w:before="75" w:beforeAutospacing="0" w:after="75" w:afterAutospacing="0" w:line="435" w:lineRule="atLeast"/>
        <w:rPr>
          <w:color w:val="auto"/>
          <w:highlight w:val="none"/>
        </w:rPr>
      </w:pPr>
    </w:p>
    <w:p>
      <w:pPr>
        <w:pStyle w:val="11"/>
        <w:widowControl/>
        <w:spacing w:before="75" w:beforeAutospacing="0" w:after="75" w:afterAutospacing="0" w:line="435" w:lineRule="atLeast"/>
        <w:rPr>
          <w:color w:val="auto"/>
          <w:highlight w:val="none"/>
        </w:rPr>
      </w:pPr>
      <w:r>
        <w:rPr>
          <w:color w:val="auto"/>
          <w:highlight w:val="none"/>
        </w:rPr>
        <w:t> </w:t>
      </w:r>
    </w:p>
    <w:p>
      <w:pPr>
        <w:pStyle w:val="11"/>
        <w:widowControl/>
        <w:spacing w:before="75" w:beforeAutospacing="0" w:after="75" w:afterAutospacing="0" w:line="435" w:lineRule="atLeast"/>
        <w:ind w:firstLine="720"/>
        <w:rPr>
          <w:color w:val="auto"/>
          <w:highlight w:val="none"/>
        </w:rPr>
      </w:pPr>
    </w:p>
    <w:p>
      <w:pPr>
        <w:pStyle w:val="11"/>
        <w:widowControl/>
        <w:spacing w:before="75" w:beforeAutospacing="0" w:after="75" w:afterAutospacing="0" w:line="435" w:lineRule="atLeast"/>
        <w:ind w:firstLine="720"/>
        <w:rPr>
          <w:color w:val="auto"/>
          <w:highlight w:val="none"/>
        </w:rPr>
      </w:pPr>
      <w:r>
        <w:rPr>
          <w:rFonts w:hint="eastAsia" w:ascii="宋体" w:hAnsi="宋体" w:cs="宋体"/>
          <w:color w:val="auto"/>
          <w:highlight w:val="none"/>
        </w:rPr>
        <w:t>通信地址:</w:t>
      </w:r>
      <w:r>
        <w:rPr>
          <w:rFonts w:hint="eastAsia" w:ascii="宋体" w:hAnsi="宋体" w:cs="宋体"/>
          <w:color w:val="auto"/>
          <w:highlight w:val="none"/>
          <w:u w:val="single"/>
        </w:rPr>
        <w:t>                             .</w:t>
      </w:r>
    </w:p>
    <w:p>
      <w:pPr>
        <w:pStyle w:val="11"/>
        <w:widowControl/>
        <w:spacing w:before="75" w:beforeAutospacing="0" w:after="75" w:afterAutospacing="0" w:line="435" w:lineRule="atLeast"/>
        <w:ind w:firstLine="720"/>
        <w:rPr>
          <w:color w:val="auto"/>
          <w:highlight w:val="none"/>
        </w:rPr>
      </w:pPr>
      <w:r>
        <w:rPr>
          <w:rFonts w:hint="eastAsia" w:ascii="宋体" w:hAnsi="宋体" w:cs="宋体"/>
          <w:color w:val="auto"/>
          <w:highlight w:val="none"/>
        </w:rPr>
        <w:t>邮编：</w:t>
      </w:r>
      <w:r>
        <w:rPr>
          <w:rFonts w:hint="eastAsia" w:ascii="宋体" w:hAnsi="宋体" w:cs="宋体"/>
          <w:color w:val="auto"/>
          <w:highlight w:val="none"/>
          <w:u w:val="single"/>
        </w:rPr>
        <w:t>          </w:t>
      </w:r>
      <w:r>
        <w:rPr>
          <w:rFonts w:hint="eastAsia" w:ascii="宋体" w:hAnsi="宋体" w:cs="宋体"/>
          <w:color w:val="auto"/>
          <w:highlight w:val="none"/>
        </w:rPr>
        <w:t>   传真号：</w:t>
      </w:r>
      <w:r>
        <w:rPr>
          <w:rFonts w:hint="eastAsia" w:ascii="宋体" w:hAnsi="宋体" w:cs="宋体"/>
          <w:color w:val="auto"/>
          <w:highlight w:val="none"/>
          <w:u w:val="single"/>
        </w:rPr>
        <w:t>               .</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联系电话（固定电话和移动电话）：</w:t>
      </w:r>
      <w:r>
        <w:rPr>
          <w:rFonts w:hint="eastAsia" w:ascii="宋体" w:hAnsi="宋体" w:cs="宋体"/>
          <w:color w:val="auto"/>
          <w:highlight w:val="none"/>
          <w:u w:val="single"/>
        </w:rPr>
        <w:t>                  </w:t>
      </w:r>
      <w:r>
        <w:rPr>
          <w:rFonts w:hint="eastAsia" w:ascii="宋体" w:hAnsi="宋体" w:cs="宋体"/>
          <w:color w:val="auto"/>
          <w:highlight w:val="none"/>
        </w:rPr>
        <w:t>.</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供应商代表：</w:t>
      </w:r>
      <w:r>
        <w:rPr>
          <w:rFonts w:hint="eastAsia" w:ascii="宋体" w:hAnsi="宋体" w:cs="宋体"/>
          <w:color w:val="auto"/>
          <w:highlight w:val="none"/>
          <w:u w:val="single"/>
        </w:rPr>
        <w:t>          （签字）          </w:t>
      </w:r>
    </w:p>
    <w:p>
      <w:pPr>
        <w:pStyle w:val="11"/>
        <w:widowControl/>
        <w:spacing w:before="75" w:beforeAutospacing="0" w:after="75" w:afterAutospacing="0" w:line="435" w:lineRule="atLeast"/>
        <w:ind w:firstLine="720"/>
        <w:rPr>
          <w:color w:val="auto"/>
          <w:highlight w:val="none"/>
        </w:rPr>
      </w:pPr>
      <w:r>
        <w:rPr>
          <w:rFonts w:hint="eastAsia" w:ascii="宋体" w:hAnsi="宋体" w:cs="宋体"/>
          <w:color w:val="auto"/>
          <w:highlight w:val="none"/>
        </w:rPr>
        <w:t>供应商代表电子信箱：</w:t>
      </w:r>
      <w:r>
        <w:rPr>
          <w:rFonts w:hint="eastAsia" w:ascii="宋体" w:hAnsi="宋体" w:cs="宋体"/>
          <w:color w:val="auto"/>
          <w:highlight w:val="none"/>
          <w:u w:val="single"/>
        </w:rPr>
        <w:t>                        .</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供应商：</w:t>
      </w:r>
      <w:r>
        <w:rPr>
          <w:rFonts w:hint="eastAsia" w:ascii="宋体" w:hAnsi="宋体" w:cs="宋体"/>
          <w:color w:val="auto"/>
          <w:highlight w:val="none"/>
          <w:u w:val="single"/>
        </w:rPr>
        <w:t>         （全称并加盖公章）   .</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 日  期： </w:t>
      </w:r>
      <w:r>
        <w:rPr>
          <w:rFonts w:hint="eastAsia" w:ascii="宋体" w:hAnsi="宋体" w:cs="宋体"/>
          <w:color w:val="auto"/>
          <w:highlight w:val="none"/>
          <w:u w:val="single"/>
        </w:rPr>
        <w:t>    </w:t>
      </w:r>
      <w:r>
        <w:rPr>
          <w:rFonts w:hint="eastAsia" w:ascii="宋体" w:hAnsi="宋体" w:cs="宋体"/>
          <w:color w:val="auto"/>
          <w:highlight w:val="none"/>
        </w:rPr>
        <w:t>年 </w:t>
      </w:r>
      <w:r>
        <w:rPr>
          <w:rFonts w:hint="eastAsia" w:ascii="宋体" w:hAnsi="宋体" w:cs="宋体"/>
          <w:color w:val="auto"/>
          <w:highlight w:val="none"/>
          <w:u w:val="single"/>
        </w:rPr>
        <w:t>   </w:t>
      </w:r>
      <w:r>
        <w:rPr>
          <w:rFonts w:hint="eastAsia" w:ascii="宋体" w:hAnsi="宋体" w:cs="宋体"/>
          <w:color w:val="auto"/>
          <w:highlight w:val="none"/>
        </w:rPr>
        <w:t>月 </w:t>
      </w:r>
      <w:r>
        <w:rPr>
          <w:rFonts w:hint="eastAsia" w:ascii="宋体" w:hAnsi="宋体" w:cs="宋体"/>
          <w:color w:val="auto"/>
          <w:highlight w:val="none"/>
          <w:u w:val="single"/>
        </w:rPr>
        <w:t>   </w:t>
      </w:r>
      <w:r>
        <w:rPr>
          <w:rFonts w:hint="eastAsia" w:ascii="宋体" w:hAnsi="宋体" w:cs="宋体"/>
          <w:color w:val="auto"/>
          <w:highlight w:val="none"/>
        </w:rPr>
        <w:t>日</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w:t>
      </w:r>
    </w:p>
    <w:p>
      <w:pPr>
        <w:pStyle w:val="16"/>
        <w:outlineLvl w:val="0"/>
        <w:rPr>
          <w:color w:val="auto"/>
          <w:highlight w:val="none"/>
        </w:rPr>
      </w:pPr>
      <w:r>
        <w:rPr>
          <w:rStyle w:val="15"/>
          <w:rFonts w:ascii="仿宋_GB2312" w:eastAsia="仿宋_GB2312" w:cs="仿宋_GB2312"/>
          <w:color w:val="auto"/>
          <w:sz w:val="24"/>
          <w:szCs w:val="24"/>
          <w:highlight w:val="none"/>
        </w:rPr>
        <w:t> </w:t>
      </w:r>
      <w:r>
        <w:rPr>
          <w:rFonts w:ascii="宋体" w:hAnsi="宋体" w:cs="宋体"/>
          <w:color w:val="auto"/>
          <w:sz w:val="24"/>
          <w:szCs w:val="24"/>
          <w:highlight w:val="none"/>
        </w:rPr>
        <w:t>附件2</w:t>
      </w:r>
      <w:r>
        <w:rPr>
          <w:rFonts w:ascii="宋体" w:hAnsi="宋体" w:cs="宋体"/>
          <w:color w:val="auto"/>
          <w:sz w:val="28"/>
          <w:szCs w:val="28"/>
          <w:highlight w:val="none"/>
        </w:rPr>
        <w:t>        </w:t>
      </w:r>
      <w:r>
        <w:rPr>
          <w:b/>
          <w:color w:val="auto"/>
          <w:sz w:val="48"/>
          <w:highlight w:val="none"/>
        </w:rPr>
        <w:t>开标（报价）一览表</w:t>
      </w:r>
    </w:p>
    <w:p>
      <w:pPr>
        <w:pStyle w:val="16"/>
        <w:rPr>
          <w:color w:val="auto"/>
          <w:highlight w:val="none"/>
        </w:rPr>
      </w:pPr>
      <w:r>
        <w:rPr>
          <w:color w:val="auto"/>
          <w:highlight w:val="none"/>
        </w:rPr>
        <w:t>公司名称：</w:t>
      </w:r>
    </w:p>
    <w:p>
      <w:pPr>
        <w:pStyle w:val="16"/>
        <w:rPr>
          <w:color w:val="auto"/>
          <w:highlight w:val="none"/>
        </w:rPr>
      </w:pPr>
      <w:r>
        <w:rPr>
          <w:color w:val="auto"/>
          <w:highlight w:val="none"/>
        </w:rPr>
        <w:t>包号：1</w:t>
      </w:r>
    </w:p>
    <w:p>
      <w:pPr>
        <w:pStyle w:val="16"/>
        <w:rPr>
          <w:color w:val="auto"/>
          <w:highlight w:val="none"/>
          <w:lang w:eastAsia="zh-CN"/>
        </w:rPr>
      </w:pPr>
      <w:r>
        <w:rPr>
          <w:color w:val="auto"/>
          <w:highlight w:val="none"/>
        </w:rPr>
        <w:t>项目编号：</w:t>
      </w:r>
      <w:r>
        <w:rPr>
          <w:rFonts w:hint="eastAsia"/>
          <w:color w:val="auto"/>
          <w:highlight w:val="none"/>
          <w:lang w:eastAsia="zh-CN"/>
        </w:rPr>
        <w:t>GFLFJ[2025]第009号</w:t>
      </w:r>
    </w:p>
    <w:p>
      <w:pPr>
        <w:pStyle w:val="16"/>
        <w:rPr>
          <w:color w:val="auto"/>
          <w:highlight w:val="none"/>
        </w:rPr>
      </w:pPr>
      <w:r>
        <w:rPr>
          <w:color w:val="auto"/>
          <w:highlight w:val="none"/>
        </w:rPr>
        <w:t>项目名称：</w:t>
      </w:r>
      <w:r>
        <w:rPr>
          <w:rFonts w:hint="eastAsia"/>
          <w:color w:val="auto"/>
          <w:highlight w:val="none"/>
          <w:lang w:eastAsia="zh-CN"/>
        </w:rPr>
        <w:t>华大街道北江社区便民服务场所装修项目</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851"/>
        <w:gridCol w:w="211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noWrap w:val="0"/>
            <w:vAlign w:val="top"/>
          </w:tcPr>
          <w:p>
            <w:pPr>
              <w:pStyle w:val="16"/>
              <w:rPr>
                <w:color w:val="auto"/>
                <w:highlight w:val="none"/>
              </w:rPr>
            </w:pPr>
            <w:r>
              <w:rPr>
                <w:color w:val="auto"/>
                <w:highlight w:val="none"/>
              </w:rPr>
              <w:t xml:space="preserve"> 序号</w:t>
            </w:r>
          </w:p>
        </w:tc>
        <w:tc>
          <w:tcPr>
            <w:tcW w:w="1661" w:type="dxa"/>
            <w:noWrap w:val="0"/>
            <w:vAlign w:val="top"/>
          </w:tcPr>
          <w:p>
            <w:pPr>
              <w:pStyle w:val="16"/>
              <w:rPr>
                <w:color w:val="auto"/>
                <w:highlight w:val="none"/>
              </w:rPr>
            </w:pPr>
            <w:r>
              <w:rPr>
                <w:color w:val="auto"/>
                <w:highlight w:val="none"/>
              </w:rPr>
              <w:t xml:space="preserve"> 报价内容</w:t>
            </w:r>
          </w:p>
        </w:tc>
        <w:tc>
          <w:tcPr>
            <w:tcW w:w="1661" w:type="dxa"/>
            <w:noWrap w:val="0"/>
            <w:vAlign w:val="top"/>
          </w:tcPr>
          <w:p>
            <w:pPr>
              <w:pStyle w:val="16"/>
              <w:rPr>
                <w:color w:val="auto"/>
                <w:highlight w:val="none"/>
              </w:rPr>
            </w:pPr>
            <w:r>
              <w:rPr>
                <w:color w:val="auto"/>
                <w:highlight w:val="none"/>
              </w:rPr>
              <w:t xml:space="preserve"> 最高限价</w:t>
            </w:r>
          </w:p>
        </w:tc>
        <w:tc>
          <w:tcPr>
            <w:tcW w:w="1851" w:type="dxa"/>
            <w:noWrap w:val="0"/>
            <w:vAlign w:val="top"/>
          </w:tcPr>
          <w:p>
            <w:pPr>
              <w:pStyle w:val="16"/>
              <w:rPr>
                <w:color w:val="auto"/>
                <w:highlight w:val="none"/>
              </w:rPr>
            </w:pPr>
            <w:r>
              <w:rPr>
                <w:color w:val="auto"/>
                <w:highlight w:val="none"/>
              </w:rPr>
              <w:t xml:space="preserve"> 响应报价</w:t>
            </w:r>
          </w:p>
        </w:tc>
        <w:tc>
          <w:tcPr>
            <w:tcW w:w="2115" w:type="dxa"/>
            <w:noWrap w:val="0"/>
            <w:vAlign w:val="top"/>
          </w:tcPr>
          <w:p>
            <w:pPr>
              <w:pStyle w:val="16"/>
              <w:rPr>
                <w:color w:val="auto"/>
                <w:highlight w:val="none"/>
              </w:rPr>
            </w:pPr>
            <w:r>
              <w:rPr>
                <w:color w:val="auto"/>
                <w:highlight w:val="none"/>
              </w:rPr>
              <w:t xml:space="preserve"> 价款形式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noWrap w:val="0"/>
            <w:vAlign w:val="top"/>
          </w:tcPr>
          <w:p>
            <w:pPr>
              <w:pStyle w:val="16"/>
              <w:rPr>
                <w:color w:val="auto"/>
                <w:highlight w:val="none"/>
              </w:rPr>
            </w:pPr>
            <w:r>
              <w:rPr>
                <w:color w:val="auto"/>
                <w:highlight w:val="none"/>
              </w:rPr>
              <w:t xml:space="preserve"> 1</w:t>
            </w:r>
          </w:p>
        </w:tc>
        <w:tc>
          <w:tcPr>
            <w:tcW w:w="1661" w:type="dxa"/>
            <w:noWrap w:val="0"/>
            <w:vAlign w:val="top"/>
          </w:tcPr>
          <w:p>
            <w:pPr>
              <w:pStyle w:val="16"/>
              <w:rPr>
                <w:color w:val="auto"/>
                <w:highlight w:val="none"/>
                <w:lang w:eastAsia="zh-CN"/>
              </w:rPr>
            </w:pPr>
            <w:r>
              <w:rPr>
                <w:color w:val="auto"/>
                <w:highlight w:val="none"/>
              </w:rPr>
              <w:t xml:space="preserve"> </w:t>
            </w:r>
            <w:r>
              <w:rPr>
                <w:rFonts w:hint="eastAsia"/>
                <w:color w:val="auto"/>
                <w:highlight w:val="none"/>
                <w:lang w:eastAsia="zh-CN"/>
              </w:rPr>
              <w:t>华大街道北江社区便民服务场所装修项目</w:t>
            </w:r>
          </w:p>
        </w:tc>
        <w:tc>
          <w:tcPr>
            <w:tcW w:w="1661" w:type="dxa"/>
            <w:noWrap w:val="0"/>
            <w:vAlign w:val="top"/>
          </w:tcPr>
          <w:p>
            <w:pPr>
              <w:pStyle w:val="16"/>
              <w:rPr>
                <w:color w:val="auto"/>
                <w:highlight w:val="none"/>
              </w:rPr>
            </w:pPr>
            <w:r>
              <w:rPr>
                <w:rFonts w:hint="eastAsia"/>
                <w:color w:val="auto"/>
                <w:highlight w:val="none"/>
                <w:lang w:eastAsia="zh-CN"/>
              </w:rPr>
              <w:t>498000</w:t>
            </w:r>
            <w:r>
              <w:rPr>
                <w:color w:val="auto"/>
                <w:highlight w:val="none"/>
              </w:rPr>
              <w:t xml:space="preserve">  元</w:t>
            </w:r>
          </w:p>
        </w:tc>
        <w:tc>
          <w:tcPr>
            <w:tcW w:w="1851" w:type="dxa"/>
            <w:noWrap w:val="0"/>
            <w:vAlign w:val="top"/>
          </w:tcPr>
          <w:p>
            <w:pPr>
              <w:pStyle w:val="16"/>
              <w:rPr>
                <w:color w:val="auto"/>
                <w:highlight w:val="none"/>
              </w:rPr>
            </w:pPr>
            <w:r>
              <w:rPr>
                <w:color w:val="auto"/>
                <w:highlight w:val="none"/>
              </w:rPr>
              <w:t xml:space="preserve"> 「汇总引用」  元</w:t>
            </w:r>
          </w:p>
        </w:tc>
        <w:tc>
          <w:tcPr>
            <w:tcW w:w="2115" w:type="dxa"/>
            <w:noWrap w:val="0"/>
            <w:vAlign w:val="top"/>
          </w:tcPr>
          <w:p>
            <w:pPr>
              <w:pStyle w:val="16"/>
              <w:rPr>
                <w:color w:val="auto"/>
                <w:highlight w:val="none"/>
              </w:rPr>
            </w:pPr>
            <w:r>
              <w:rPr>
                <w:color w:val="auto"/>
                <w:highlight w:val="none"/>
              </w:rPr>
              <w:t xml:space="preserve"> 总价</w:t>
            </w:r>
          </w:p>
        </w:tc>
      </w:tr>
    </w:tbl>
    <w:p>
      <w:pPr>
        <w:pStyle w:val="16"/>
        <w:rPr>
          <w:color w:val="auto"/>
          <w:highlight w:val="none"/>
        </w:rPr>
      </w:pPr>
      <w:r>
        <w:rPr>
          <w:color w:val="auto"/>
          <w:highlight w:val="none"/>
        </w:rPr>
        <w:t>备注：无</w:t>
      </w:r>
    </w:p>
    <w:p>
      <w:pPr>
        <w:pStyle w:val="16"/>
        <w:rPr>
          <w:color w:val="auto"/>
          <w:highlight w:val="none"/>
        </w:rPr>
      </w:pPr>
      <w:r>
        <w:rPr>
          <w:color w:val="auto"/>
          <w:highlight w:val="none"/>
        </w:rPr>
        <w:t>时间：     年     月     日</w:t>
      </w:r>
    </w:p>
    <w:p>
      <w:pPr>
        <w:pStyle w:val="16"/>
        <w:rPr>
          <w:color w:val="auto"/>
          <w:highlight w:val="none"/>
        </w:rPr>
      </w:pPr>
      <w:r>
        <w:rPr>
          <w:color w:val="auto"/>
          <w:highlight w:val="none"/>
        </w:rPr>
        <w:t xml:space="preserve">签章：                     </w:t>
      </w:r>
    </w:p>
    <w:p>
      <w:pPr>
        <w:pStyle w:val="16"/>
        <w:jc w:val="center"/>
        <w:outlineLvl w:val="3"/>
      </w:pPr>
      <w:r>
        <w:rPr>
          <w:rFonts w:ascii="仿宋_GB2312" w:hAnsi="仿宋_GB2312" w:eastAsia="仿宋_GB2312" w:cs="仿宋_GB2312"/>
          <w:b/>
          <w:sz w:val="24"/>
        </w:rPr>
        <w:t>附件2-1 详细报价书</w:t>
      </w:r>
    </w:p>
    <w:p>
      <w:pPr>
        <w:pStyle w:val="16"/>
        <w:jc w:val="left"/>
      </w:pPr>
      <w:r>
        <w:rPr>
          <w:rFonts w:ascii="仿宋_GB2312" w:hAnsi="仿宋_GB2312" w:eastAsia="仿宋_GB2312" w:cs="仿宋_GB2312"/>
          <w:b/>
        </w:rPr>
        <w:t>说明：</w:t>
      </w:r>
    </w:p>
    <w:p>
      <w:pPr>
        <w:pStyle w:val="16"/>
        <w:ind w:firstLine="480"/>
        <w:jc w:val="left"/>
      </w:pPr>
      <w:r>
        <w:rPr>
          <w:rFonts w:ascii="仿宋_GB2312" w:hAnsi="仿宋_GB2312" w:eastAsia="仿宋_GB2312" w:cs="仿宋_GB2312"/>
        </w:rPr>
        <w:t>1.各供应商应根据竞争性磋商文件的要求，在响应文件中提出为完成本项目相应采购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pPr>
        <w:pStyle w:val="16"/>
        <w:ind w:firstLine="480"/>
        <w:jc w:val="left"/>
      </w:pPr>
      <w:r>
        <w:rPr>
          <w:rFonts w:ascii="仿宋_GB2312" w:hAnsi="仿宋_GB2312" w:eastAsia="仿宋_GB2312" w:cs="仿宋_GB2312"/>
        </w:rPr>
        <w:t>2.为完成相应采购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pPr>
        <w:pStyle w:val="16"/>
        <w:ind w:firstLine="480"/>
        <w:jc w:val="left"/>
        <w:rPr>
          <w:rFonts w:hint="eastAsia" w:ascii="仿宋_GB2312" w:hAnsi="仿宋_GB2312" w:eastAsia="仿宋_GB2312" w:cs="仿宋_GB2312"/>
          <w:lang w:eastAsia="zh-CN"/>
        </w:rPr>
      </w:pPr>
      <w:r>
        <w:rPr>
          <w:rFonts w:ascii="仿宋_GB2312" w:hAnsi="仿宋_GB2312" w:eastAsia="仿宋_GB2312" w:cs="仿宋_GB2312"/>
        </w:rPr>
        <w:t xml:space="preserve"> 3.对于不能详细列明采购标的的技术、服务要求的磋商采购项目或者如优惠率磋商、单价磋商等特殊类型的磋商采购项目，由供应商根据磋商文件的具体规定和项目特点提交详细报价书，采购人或采购代理机构如果对详细报价书有统一格式要求的，可以进行规定或附表。如果没有特别要求的，则格式由供应商根据项目特点自行拟制。</w:t>
      </w:r>
    </w:p>
    <w:p>
      <w:pPr>
        <w:pStyle w:val="16"/>
        <w:ind w:firstLine="480"/>
        <w:jc w:val="left"/>
        <w:rPr>
          <w:rFonts w:hint="eastAsia" w:ascii="仿宋_GB2312" w:hAnsi="仿宋_GB2312" w:eastAsia="仿宋_GB2312" w:cs="仿宋_GB2312"/>
          <w:lang w:eastAsia="zh-CN"/>
        </w:rPr>
      </w:pPr>
    </w:p>
    <w:p>
      <w:pPr>
        <w:pStyle w:val="16"/>
        <w:ind w:firstLine="480"/>
        <w:jc w:val="left"/>
        <w:rPr>
          <w:rFonts w:hint="eastAsia" w:eastAsia="宋体"/>
          <w:lang w:eastAsia="zh-CN"/>
        </w:rPr>
      </w:pPr>
    </w:p>
    <w:p>
      <w:pPr>
        <w:pStyle w:val="16"/>
        <w:ind w:firstLine="480"/>
        <w:jc w:val="left"/>
        <w:rPr>
          <w:rFonts w:hint="eastAsia" w:eastAsia="宋体"/>
          <w:lang w:eastAsia="zh-CN"/>
        </w:rPr>
      </w:pPr>
    </w:p>
    <w:p>
      <w:pPr>
        <w:pStyle w:val="16"/>
        <w:ind w:firstLine="480"/>
        <w:jc w:val="left"/>
        <w:rPr>
          <w:rFonts w:hint="eastAsia" w:eastAsia="宋体"/>
          <w:lang w:eastAsia="zh-CN"/>
        </w:rPr>
      </w:pPr>
    </w:p>
    <w:p>
      <w:pPr>
        <w:pStyle w:val="16"/>
        <w:ind w:firstLine="480"/>
        <w:jc w:val="left"/>
      </w:pPr>
      <w:r>
        <w:rPr>
          <w:rFonts w:ascii="仿宋_GB2312" w:hAnsi="仿宋_GB2312" w:eastAsia="仿宋_GB2312" w:cs="仿宋_GB2312"/>
        </w:rPr>
        <w:t>供应商代表：</w:t>
      </w:r>
      <w:r>
        <w:rPr>
          <w:rFonts w:ascii="仿宋_GB2312" w:hAnsi="仿宋_GB2312" w:eastAsia="仿宋_GB2312" w:cs="仿宋_GB2312"/>
          <w:u w:val="single"/>
        </w:rPr>
        <w:t>　　　　（签字）</w:t>
      </w:r>
    </w:p>
    <w:p>
      <w:pPr>
        <w:pStyle w:val="16"/>
        <w:ind w:firstLine="480"/>
        <w:jc w:val="left"/>
      </w:pPr>
      <w:r>
        <w:rPr>
          <w:rFonts w:ascii="仿宋_GB2312" w:hAnsi="仿宋_GB2312" w:eastAsia="仿宋_GB2312" w:cs="仿宋_GB2312"/>
        </w:rPr>
        <w:t>供应商名称：</w:t>
      </w:r>
      <w:r>
        <w:rPr>
          <w:rFonts w:ascii="仿宋_GB2312" w:hAnsi="仿宋_GB2312" w:eastAsia="仿宋_GB2312" w:cs="仿宋_GB2312"/>
          <w:u w:val="single"/>
        </w:rPr>
        <w:t>　　（全称并加盖公章）　　</w:t>
      </w:r>
    </w:p>
    <w:p>
      <w:pPr>
        <w:pStyle w:val="16"/>
        <w:ind w:firstLine="400" w:firstLineChars="200"/>
        <w:jc w:val="left"/>
      </w:pPr>
      <w:r>
        <w:rPr>
          <w:color w:val="auto"/>
          <w:highlight w:val="none"/>
        </w:rPr>
        <w:t xml:space="preserve"> </w:t>
      </w:r>
      <w:r>
        <w:rPr>
          <w:rFonts w:ascii="仿宋_GB2312" w:hAnsi="仿宋_GB2312" w:eastAsia="仿宋_GB2312" w:cs="仿宋_GB2312"/>
        </w:rPr>
        <w:t>日期：</w:t>
      </w:r>
      <w:r>
        <w:rPr>
          <w:rFonts w:ascii="仿宋_GB2312" w:hAnsi="仿宋_GB2312" w:eastAsia="仿宋_GB2312" w:cs="仿宋_GB2312"/>
          <w:u w:val="single"/>
        </w:rPr>
        <w:t>　　</w:t>
      </w:r>
      <w:r>
        <w:rPr>
          <w:rFonts w:ascii="仿宋_GB2312" w:hAnsi="仿宋_GB2312" w:eastAsia="仿宋_GB2312" w:cs="仿宋_GB2312"/>
        </w:rPr>
        <w:t>年</w:t>
      </w:r>
      <w:r>
        <w:rPr>
          <w:rFonts w:ascii="仿宋_GB2312" w:hAnsi="仿宋_GB2312" w:eastAsia="仿宋_GB2312" w:cs="仿宋_GB2312"/>
          <w:u w:val="single"/>
        </w:rPr>
        <w:t>　　</w:t>
      </w:r>
      <w:r>
        <w:rPr>
          <w:rFonts w:ascii="仿宋_GB2312" w:hAnsi="仿宋_GB2312" w:eastAsia="仿宋_GB2312" w:cs="仿宋_GB2312"/>
        </w:rPr>
        <w:t>月</w:t>
      </w:r>
      <w:r>
        <w:rPr>
          <w:rFonts w:ascii="仿宋_GB2312" w:hAnsi="仿宋_GB2312" w:eastAsia="仿宋_GB2312" w:cs="仿宋_GB2312"/>
          <w:u w:val="single"/>
        </w:rPr>
        <w:t>　　</w:t>
      </w:r>
      <w:r>
        <w:rPr>
          <w:rFonts w:ascii="仿宋_GB2312" w:hAnsi="仿宋_GB2312" w:eastAsia="仿宋_GB2312" w:cs="仿宋_GB2312"/>
        </w:rPr>
        <w:t>日</w:t>
      </w:r>
    </w:p>
    <w:p>
      <w:pPr>
        <w:pStyle w:val="11"/>
        <w:widowControl/>
        <w:spacing w:before="75" w:beforeAutospacing="0" w:after="75" w:afterAutospacing="0"/>
        <w:rPr>
          <w:color w:val="auto"/>
          <w:highlight w:val="none"/>
        </w:rPr>
      </w:pPr>
      <w:r>
        <w:rPr>
          <w:color w:val="auto"/>
          <w:highlight w:val="none"/>
        </w:rPr>
        <w:t xml:space="preserve"> </w:t>
      </w:r>
      <w:r>
        <w:rPr>
          <w:rFonts w:hint="eastAsia" w:ascii="宋体" w:hAnsi="宋体" w:cs="宋体"/>
          <w:color w:val="auto"/>
          <w:highlight w:val="none"/>
        </w:rPr>
        <w:br w:type="page"/>
      </w:r>
      <w:r>
        <w:rPr>
          <w:rFonts w:hint="eastAsia" w:ascii="宋体" w:hAnsi="宋体" w:cs="宋体"/>
          <w:color w:val="auto"/>
          <w:highlight w:val="none"/>
        </w:rPr>
        <w:t>附件3               </w:t>
      </w:r>
      <w:r>
        <w:rPr>
          <w:rStyle w:val="15"/>
          <w:rFonts w:hint="eastAsia" w:ascii="宋体" w:hAnsi="宋体" w:cs="宋体"/>
          <w:color w:val="auto"/>
          <w:highlight w:val="none"/>
        </w:rPr>
        <w:t>资格证明文件</w:t>
      </w:r>
      <w:r>
        <w:rPr>
          <w:rFonts w:hint="eastAsia" w:ascii="宋体" w:hAnsi="宋体" w:cs="宋体"/>
          <w:color w:val="auto"/>
          <w:highlight w:val="none"/>
        </w:rPr>
        <w:t> </w:t>
      </w:r>
    </w:p>
    <w:p>
      <w:pPr>
        <w:pStyle w:val="11"/>
        <w:widowControl/>
        <w:spacing w:before="75" w:beforeAutospacing="0" w:after="75" w:afterAutospacing="0" w:line="465" w:lineRule="atLeast"/>
        <w:rPr>
          <w:color w:val="auto"/>
          <w:highlight w:val="none"/>
        </w:rPr>
      </w:pPr>
      <w:r>
        <w:rPr>
          <w:rFonts w:hint="eastAsia" w:ascii="宋体" w:hAnsi="宋体" w:cs="宋体"/>
          <w:color w:val="auto"/>
          <w:highlight w:val="none"/>
        </w:rPr>
        <w:t>附件3-1       </w:t>
      </w:r>
      <w:r>
        <w:rPr>
          <w:rStyle w:val="15"/>
          <w:rFonts w:hint="eastAsia" w:ascii="宋体" w:hAnsi="宋体" w:cs="宋体"/>
          <w:color w:val="auto"/>
          <w:highlight w:val="none"/>
        </w:rPr>
        <w:t>参加竞争性磋商的声明函</w:t>
      </w:r>
      <w:r>
        <w:rPr>
          <w:rFonts w:hint="eastAsia" w:ascii="宋体" w:hAnsi="宋体" w:cs="宋体"/>
          <w:color w:val="auto"/>
          <w:highlight w:val="none"/>
        </w:rPr>
        <w:t> </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致：</w:t>
      </w:r>
      <w:r>
        <w:rPr>
          <w:rFonts w:hint="eastAsia" w:ascii="宋体" w:hAnsi="宋体" w:cs="宋体"/>
          <w:color w:val="auto"/>
          <w:highlight w:val="none"/>
          <w:u w:val="single"/>
        </w:rPr>
        <w:t>     (招标人或招标代理机构</w:t>
      </w:r>
      <w:r>
        <w:rPr>
          <w:rFonts w:cs="Calibri"/>
          <w:color w:val="auto"/>
          <w:highlight w:val="none"/>
          <w:u w:val="single"/>
        </w:rPr>
        <w:t>)       </w:t>
      </w:r>
      <w:r>
        <w:rPr>
          <w:rFonts w:hint="eastAsia" w:ascii="宋体" w:hAnsi="宋体" w:cs="宋体"/>
          <w:color w:val="auto"/>
          <w:highlight w:val="none"/>
        </w:rPr>
        <w:t> </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1、关于贵方_____年_____月_____日</w:t>
      </w:r>
      <w:r>
        <w:rPr>
          <w:rFonts w:hint="eastAsia" w:ascii="宋体" w:hAnsi="宋体" w:cs="宋体"/>
          <w:color w:val="auto"/>
          <w:highlight w:val="none"/>
          <w:u w:val="single"/>
        </w:rPr>
        <w:t xml:space="preserve">      </w:t>
      </w:r>
      <w:r>
        <w:rPr>
          <w:rFonts w:hint="eastAsia" w:ascii="宋体" w:hAnsi="宋体" w:cs="宋体"/>
          <w:color w:val="auto"/>
          <w:highlight w:val="none"/>
        </w:rPr>
        <w:t>项目（项目编号:</w:t>
      </w:r>
      <w:r>
        <w:rPr>
          <w:rFonts w:hint="eastAsia" w:ascii="宋体" w:hAnsi="宋体" w:cs="宋体"/>
          <w:color w:val="auto"/>
          <w:highlight w:val="none"/>
          <w:u w:val="single"/>
        </w:rPr>
        <w:t>    </w:t>
      </w:r>
      <w:r>
        <w:rPr>
          <w:rFonts w:hint="eastAsia" w:ascii="宋体" w:hAnsi="宋体" w:cs="宋体"/>
          <w:color w:val="auto"/>
          <w:highlight w:val="none"/>
        </w:rPr>
        <w:t>）的招标公告（或招标邀请），本签字人代表供应商参加竞争性磋商，我方提供竞争性磋商文件中规定的相应资料和说明。本签字人确认响应文件中所有提交的文件、声明或资料（包括但不限于资格证明文件）是真实的、合法的、准确的、有效的。 </w:t>
      </w:r>
    </w:p>
    <w:p>
      <w:pPr>
        <w:pStyle w:val="11"/>
        <w:widowControl/>
        <w:spacing w:before="75" w:beforeAutospacing="0" w:after="75" w:afterAutospacing="0" w:line="360" w:lineRule="atLeast"/>
        <w:ind w:left="540"/>
        <w:rPr>
          <w:rFonts w:hint="eastAsia" w:ascii="宋体" w:hAnsi="宋体" w:cs="宋体"/>
          <w:color w:val="auto"/>
          <w:highlight w:val="none"/>
        </w:rPr>
      </w:pPr>
      <w:r>
        <w:rPr>
          <w:rFonts w:hint="eastAsia" w:ascii="宋体" w:hAnsi="宋体" w:cs="宋体"/>
          <w:color w:val="auto"/>
          <w:highlight w:val="none"/>
        </w:rPr>
        <w:t>2、供应商的基本概况：</w:t>
      </w:r>
    </w:p>
    <w:p>
      <w:pPr>
        <w:pStyle w:val="11"/>
        <w:widowControl/>
        <w:spacing w:before="75" w:beforeAutospacing="0" w:after="75" w:afterAutospacing="0" w:line="360" w:lineRule="atLeast"/>
        <w:ind w:left="540"/>
        <w:rPr>
          <w:rFonts w:hint="eastAsia" w:ascii="宋体" w:hAnsi="宋体" w:cs="宋体"/>
          <w:color w:val="auto"/>
          <w:highlight w:val="none"/>
          <w:u w:val="single"/>
        </w:rPr>
      </w:pPr>
      <w:r>
        <w:rPr>
          <w:rFonts w:hint="eastAsia" w:ascii="宋体" w:hAnsi="宋体" w:cs="宋体"/>
          <w:color w:val="auto"/>
          <w:highlight w:val="none"/>
        </w:rPr>
        <w:t>2.1供应商单位名称：</w:t>
      </w:r>
      <w:r>
        <w:rPr>
          <w:rFonts w:hint="eastAsia" w:ascii="宋体" w:hAnsi="宋体" w:cs="宋体"/>
          <w:color w:val="auto"/>
          <w:highlight w:val="none"/>
          <w:u w:val="single"/>
        </w:rPr>
        <w:t>                   </w:t>
      </w:r>
    </w:p>
    <w:p>
      <w:pPr>
        <w:pStyle w:val="11"/>
        <w:widowControl/>
        <w:spacing w:before="75" w:beforeAutospacing="0" w:after="75" w:afterAutospacing="0" w:line="360" w:lineRule="atLeast"/>
        <w:ind w:left="540"/>
        <w:rPr>
          <w:rFonts w:hint="eastAsia" w:ascii="宋体" w:hAnsi="宋体" w:cs="宋体"/>
          <w:color w:val="auto"/>
          <w:highlight w:val="none"/>
          <w:u w:val="single"/>
        </w:rPr>
      </w:pPr>
      <w:r>
        <w:rPr>
          <w:rFonts w:hint="eastAsia" w:ascii="宋体" w:hAnsi="宋体" w:cs="宋体"/>
          <w:color w:val="auto"/>
          <w:highlight w:val="none"/>
        </w:rPr>
        <w:t>2.2注册地址：</w:t>
      </w:r>
      <w:r>
        <w:rPr>
          <w:rFonts w:hint="eastAsia" w:ascii="宋体" w:hAnsi="宋体" w:cs="宋体"/>
          <w:color w:val="auto"/>
          <w:highlight w:val="none"/>
          <w:u w:val="single"/>
        </w:rPr>
        <w:t>                               </w:t>
      </w:r>
    </w:p>
    <w:p>
      <w:pPr>
        <w:pStyle w:val="11"/>
        <w:widowControl/>
        <w:spacing w:before="75" w:beforeAutospacing="0" w:after="75" w:afterAutospacing="0" w:line="360" w:lineRule="atLeast"/>
        <w:ind w:left="540"/>
        <w:rPr>
          <w:color w:val="auto"/>
          <w:highlight w:val="none"/>
        </w:rPr>
      </w:pPr>
      <w:r>
        <w:rPr>
          <w:rFonts w:hint="eastAsia" w:ascii="宋体" w:hAnsi="宋体" w:cs="宋体"/>
          <w:color w:val="auto"/>
          <w:highlight w:val="none"/>
        </w:rPr>
        <w:t>2.3单位负责人姓名：</w:t>
      </w:r>
      <w:r>
        <w:rPr>
          <w:rFonts w:hint="eastAsia" w:ascii="宋体" w:hAnsi="宋体" w:cs="宋体"/>
          <w:color w:val="auto"/>
          <w:highlight w:val="none"/>
          <w:u w:val="single"/>
        </w:rPr>
        <w:t>        </w:t>
      </w:r>
      <w:r>
        <w:rPr>
          <w:rFonts w:hint="eastAsia" w:ascii="宋体" w:hAnsi="宋体" w:cs="宋体"/>
          <w:color w:val="auto"/>
          <w:highlight w:val="none"/>
        </w:rPr>
        <w:t>性别：</w:t>
      </w:r>
      <w:r>
        <w:rPr>
          <w:rFonts w:hint="eastAsia" w:ascii="宋体" w:hAnsi="宋体" w:cs="宋体"/>
          <w:color w:val="auto"/>
          <w:highlight w:val="none"/>
          <w:u w:val="single"/>
        </w:rPr>
        <w:t>     </w:t>
      </w:r>
      <w:r>
        <w:rPr>
          <w:rFonts w:hint="eastAsia" w:ascii="宋体" w:hAnsi="宋体" w:cs="宋体"/>
          <w:color w:val="auto"/>
          <w:highlight w:val="none"/>
        </w:rPr>
        <w:t>年龄：</w:t>
      </w:r>
      <w:r>
        <w:rPr>
          <w:rFonts w:hint="eastAsia" w:ascii="宋体" w:hAnsi="宋体" w:cs="宋体"/>
          <w:color w:val="auto"/>
          <w:highlight w:val="none"/>
          <w:u w:val="single"/>
        </w:rPr>
        <w:t>     </w:t>
      </w:r>
      <w:r>
        <w:rPr>
          <w:rFonts w:hint="eastAsia" w:ascii="宋体" w:hAnsi="宋体" w:cs="宋体"/>
          <w:color w:val="auto"/>
          <w:highlight w:val="none"/>
        </w:rPr>
        <w:t>职务：</w:t>
      </w:r>
      <w:r>
        <w:rPr>
          <w:rFonts w:hint="eastAsia" w:ascii="宋体" w:hAnsi="宋体" w:cs="宋体"/>
          <w:color w:val="auto"/>
          <w:highlight w:val="none"/>
          <w:u w:val="single"/>
        </w:rPr>
        <w:t>      </w:t>
      </w:r>
      <w:r>
        <w:rPr>
          <w:rFonts w:hint="eastAsia" w:ascii="宋体" w:hAnsi="宋体" w:cs="宋体"/>
          <w:color w:val="auto"/>
          <w:highlight w:val="none"/>
        </w:rPr>
        <w:t>。</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备注：“单位负责人”指单位法定代表人（供应商为法人的）或法律、法规规定代表单位行使职权的主要负责人（供应商为其他组织的）。</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对于接受联合体形式的磋商且供应商是联合体的，则联合体各成员都应当提交本资格证明文件。</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w:t>
      </w:r>
    </w:p>
    <w:p>
      <w:pPr>
        <w:pStyle w:val="11"/>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供应商代表：</w:t>
      </w:r>
      <w:r>
        <w:rPr>
          <w:rFonts w:hint="eastAsia" w:ascii="宋体" w:hAnsi="宋体" w:cs="宋体"/>
          <w:color w:val="auto"/>
          <w:highlight w:val="none"/>
          <w:u w:val="single"/>
        </w:rPr>
        <w:t>             （签字） </w:t>
      </w:r>
    </w:p>
    <w:p>
      <w:pPr>
        <w:pStyle w:val="11"/>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供应商名称：</w:t>
      </w:r>
      <w:r>
        <w:rPr>
          <w:rFonts w:hint="eastAsia" w:ascii="宋体" w:hAnsi="宋体" w:cs="宋体"/>
          <w:color w:val="auto"/>
          <w:highlight w:val="none"/>
          <w:u w:val="single"/>
        </w:rPr>
        <w:t>         （全称并加盖公章）  .</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日  期： </w:t>
      </w:r>
      <w:r>
        <w:rPr>
          <w:rFonts w:hint="eastAsia" w:ascii="宋体" w:hAnsi="宋体" w:cs="宋体"/>
          <w:color w:val="auto"/>
          <w:highlight w:val="none"/>
          <w:u w:val="single"/>
        </w:rPr>
        <w:t>    </w:t>
      </w:r>
      <w:r>
        <w:rPr>
          <w:rFonts w:hint="eastAsia" w:ascii="宋体" w:hAnsi="宋体" w:cs="宋体"/>
          <w:color w:val="auto"/>
          <w:highlight w:val="none"/>
        </w:rPr>
        <w:t>年 </w:t>
      </w:r>
      <w:r>
        <w:rPr>
          <w:rFonts w:hint="eastAsia" w:ascii="宋体" w:hAnsi="宋体" w:cs="宋体"/>
          <w:color w:val="auto"/>
          <w:highlight w:val="none"/>
          <w:u w:val="single"/>
        </w:rPr>
        <w:t>   </w:t>
      </w:r>
      <w:r>
        <w:rPr>
          <w:rFonts w:hint="eastAsia" w:ascii="宋体" w:hAnsi="宋体" w:cs="宋体"/>
          <w:color w:val="auto"/>
          <w:highlight w:val="none"/>
        </w:rPr>
        <w:t>月 </w:t>
      </w:r>
      <w:r>
        <w:rPr>
          <w:rFonts w:hint="eastAsia" w:ascii="宋体" w:hAnsi="宋体" w:cs="宋体"/>
          <w:color w:val="auto"/>
          <w:highlight w:val="none"/>
          <w:u w:val="single"/>
        </w:rPr>
        <w:t>   </w:t>
      </w:r>
      <w:r>
        <w:rPr>
          <w:rFonts w:hint="eastAsia" w:ascii="宋体" w:hAnsi="宋体" w:cs="宋体"/>
          <w:color w:val="auto"/>
          <w:highlight w:val="none"/>
        </w:rPr>
        <w:t>日</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w:t>
      </w:r>
    </w:p>
    <w:p>
      <w:pPr>
        <w:pStyle w:val="11"/>
        <w:widowControl/>
        <w:spacing w:before="75" w:beforeAutospacing="0" w:after="75" w:afterAutospacing="0"/>
        <w:rPr>
          <w:color w:val="auto"/>
          <w:highlight w:val="none"/>
        </w:rPr>
      </w:pPr>
      <w:r>
        <w:rPr>
          <w:rFonts w:hint="eastAsia" w:ascii="宋体" w:hAnsi="宋体" w:cs="宋体"/>
          <w:color w:val="auto"/>
          <w:highlight w:val="none"/>
        </w:rPr>
        <w:t>                            </w:t>
      </w:r>
    </w:p>
    <w:p>
      <w:pPr>
        <w:pStyle w:val="11"/>
        <w:widowControl/>
        <w:spacing w:before="75" w:beforeAutospacing="0" w:after="75" w:afterAutospacing="0" w:line="375" w:lineRule="atLeast"/>
        <w:rPr>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附件3-2            供应商</w:t>
      </w:r>
      <w:r>
        <w:rPr>
          <w:rStyle w:val="15"/>
          <w:rFonts w:hint="eastAsia" w:ascii="宋体" w:hAnsi="宋体" w:cs="宋体"/>
          <w:color w:val="auto"/>
          <w:highlight w:val="none"/>
        </w:rPr>
        <w:t>的资格声明</w:t>
      </w:r>
      <w:r>
        <w:rPr>
          <w:rFonts w:hint="eastAsia" w:ascii="宋体" w:hAnsi="宋体" w:cs="宋体"/>
          <w:color w:val="auto"/>
          <w:highlight w:val="none"/>
        </w:rPr>
        <w:t> </w:t>
      </w:r>
    </w:p>
    <w:p>
      <w:pPr>
        <w:pStyle w:val="11"/>
        <w:widowControl/>
        <w:spacing w:before="75" w:beforeAutospacing="0" w:after="75" w:afterAutospacing="0" w:line="375" w:lineRule="atLeast"/>
        <w:jc w:val="both"/>
        <w:rPr>
          <w:color w:val="auto"/>
          <w:highlight w:val="none"/>
        </w:rPr>
      </w:pPr>
      <w:r>
        <w:rPr>
          <w:rFonts w:hint="eastAsia" w:ascii="宋体" w:hAnsi="宋体" w:cs="宋体"/>
          <w:color w:val="auto"/>
          <w:highlight w:val="none"/>
        </w:rPr>
        <w:t> </w:t>
      </w:r>
    </w:p>
    <w:p>
      <w:pPr>
        <w:pStyle w:val="11"/>
        <w:widowControl/>
        <w:spacing w:before="75" w:beforeAutospacing="0" w:after="75" w:afterAutospacing="0" w:line="375" w:lineRule="atLeast"/>
        <w:jc w:val="both"/>
        <w:rPr>
          <w:color w:val="auto"/>
          <w:highlight w:val="none"/>
        </w:rPr>
      </w:pPr>
      <w:r>
        <w:rPr>
          <w:rFonts w:hint="eastAsia" w:ascii="宋体" w:hAnsi="宋体" w:cs="宋体"/>
          <w:color w:val="auto"/>
          <w:highlight w:val="none"/>
        </w:rPr>
        <w:t>致：</w:t>
      </w:r>
      <w:r>
        <w:rPr>
          <w:rFonts w:hint="eastAsia" w:ascii="宋体" w:hAnsi="宋体" w:cs="宋体"/>
          <w:color w:val="auto"/>
          <w:highlight w:val="none"/>
          <w:u w:val="single"/>
        </w:rPr>
        <w:t xml:space="preserve">     (招标人或招标代理机构) </w:t>
      </w:r>
    </w:p>
    <w:p>
      <w:pPr>
        <w:pStyle w:val="11"/>
        <w:widowControl/>
        <w:spacing w:before="75" w:beforeAutospacing="0" w:after="75" w:afterAutospacing="0" w:line="375" w:lineRule="atLeast"/>
        <w:jc w:val="both"/>
        <w:rPr>
          <w:color w:val="auto"/>
          <w:highlight w:val="none"/>
        </w:rPr>
      </w:pPr>
      <w:r>
        <w:rPr>
          <w:rStyle w:val="15"/>
          <w:rFonts w:hint="eastAsia" w:ascii="宋体" w:hAnsi="宋体" w:cs="宋体"/>
          <w:color w:val="auto"/>
          <w:highlight w:val="none"/>
        </w:rPr>
        <w:t> </w:t>
      </w:r>
    </w:p>
    <w:p>
      <w:pPr>
        <w:pStyle w:val="11"/>
        <w:widowControl/>
        <w:spacing w:before="75" w:beforeAutospacing="0" w:after="75" w:afterAutospacing="0" w:line="375" w:lineRule="atLeast"/>
        <w:ind w:firstLine="481" w:firstLineChars="200"/>
        <w:jc w:val="both"/>
        <w:rPr>
          <w:color w:val="auto"/>
          <w:highlight w:val="none"/>
        </w:rPr>
      </w:pPr>
      <w:r>
        <w:rPr>
          <w:rStyle w:val="15"/>
          <w:rFonts w:hint="eastAsia" w:ascii="宋体" w:hAnsi="宋体" w:cs="宋体"/>
          <w:color w:val="auto"/>
          <w:highlight w:val="none"/>
        </w:rPr>
        <w:t>1、</w:t>
      </w:r>
      <w:r>
        <w:rPr>
          <w:rFonts w:hint="eastAsia" w:ascii="宋体" w:hAnsi="宋体" w:cs="宋体"/>
          <w:color w:val="auto"/>
          <w:highlight w:val="none"/>
        </w:rPr>
        <w:t>我方已知晓竞争性磋商文件要求并认真审核自身情况，在此郑重声明，我方具备并满足下列各项条款的规定。本声明如有虚假或不实之处，我方将失去合格供应商资格且我方的磋商保证金将不予退还。</w:t>
      </w:r>
    </w:p>
    <w:tbl>
      <w:tblPr>
        <w:tblStyle w:val="13"/>
        <w:tblW w:w="8859"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7" w:type="dxa"/>
          <w:left w:w="17" w:type="dxa"/>
          <w:bottom w:w="17" w:type="dxa"/>
          <w:right w:w="17" w:type="dxa"/>
        </w:tblCellMar>
      </w:tblPr>
      <w:tblGrid>
        <w:gridCol w:w="6561"/>
        <w:gridCol w:w="2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736" w:hRule="atLeast"/>
        </w:trPr>
        <w:tc>
          <w:tcPr>
            <w:tcW w:w="6561" w:type="dxa"/>
            <w:noWrap w:val="0"/>
            <w:tcMar>
              <w:top w:w="0" w:type="dxa"/>
              <w:left w:w="105" w:type="dxa"/>
              <w:bottom w:w="0" w:type="dxa"/>
              <w:right w:w="105" w:type="dxa"/>
            </w:tcMar>
            <w:vAlign w:val="center"/>
          </w:tcPr>
          <w:p>
            <w:pPr>
              <w:pStyle w:val="11"/>
              <w:widowControl/>
              <w:spacing w:before="0" w:beforeAutospacing="0" w:after="0" w:afterAutospacing="0" w:line="375" w:lineRule="atLeast"/>
              <w:jc w:val="both"/>
              <w:rPr>
                <w:color w:val="auto"/>
                <w:sz w:val="21"/>
                <w:szCs w:val="21"/>
                <w:highlight w:val="none"/>
              </w:rPr>
            </w:pPr>
            <w:r>
              <w:rPr>
                <w:rStyle w:val="15"/>
                <w:rFonts w:hint="eastAsia" w:ascii="宋体" w:hAnsi="宋体" w:cs="宋体"/>
                <w:color w:val="auto"/>
                <w:sz w:val="21"/>
                <w:szCs w:val="21"/>
                <w:highlight w:val="none"/>
              </w:rPr>
              <w:t>《中华人民共和国</w:t>
            </w:r>
            <w:r>
              <w:rPr>
                <w:rStyle w:val="15"/>
                <w:rFonts w:hint="eastAsia" w:ascii="宋体" w:hAnsi="宋体" w:cs="宋体"/>
                <w:color w:val="auto"/>
                <w:sz w:val="21"/>
                <w:szCs w:val="21"/>
                <w:highlight w:val="none"/>
                <w:lang w:eastAsia="zh-CN"/>
              </w:rPr>
              <w:t>政府采购</w:t>
            </w:r>
            <w:r>
              <w:rPr>
                <w:rStyle w:val="15"/>
                <w:rFonts w:hint="eastAsia" w:ascii="宋体" w:hAnsi="宋体" w:cs="宋体"/>
                <w:color w:val="auto"/>
                <w:sz w:val="21"/>
                <w:szCs w:val="21"/>
                <w:highlight w:val="none"/>
              </w:rPr>
              <w:t>法》第二十二条对供应商的要求</w:t>
            </w:r>
          </w:p>
        </w:tc>
        <w:tc>
          <w:tcPr>
            <w:tcW w:w="2298" w:type="dxa"/>
            <w:noWrap w:val="0"/>
            <w:tcMar>
              <w:top w:w="0" w:type="dxa"/>
              <w:left w:w="105" w:type="dxa"/>
              <w:bottom w:w="0" w:type="dxa"/>
              <w:right w:w="105" w:type="dxa"/>
            </w:tcMar>
            <w:vAlign w:val="center"/>
          </w:tcPr>
          <w:p>
            <w:pPr>
              <w:pStyle w:val="11"/>
              <w:widowControl/>
              <w:spacing w:before="0" w:beforeAutospacing="0" w:after="0" w:afterAutospacing="0" w:line="375" w:lineRule="atLeast"/>
              <w:jc w:val="both"/>
              <w:rPr>
                <w:color w:val="auto"/>
                <w:sz w:val="21"/>
                <w:szCs w:val="21"/>
                <w:highlight w:val="none"/>
              </w:rPr>
            </w:pPr>
            <w:r>
              <w:rPr>
                <w:rStyle w:val="15"/>
                <w:rFonts w:hint="eastAsia" w:ascii="宋体" w:hAnsi="宋体" w:cs="宋体"/>
                <w:color w:val="auto"/>
                <w:sz w:val="21"/>
                <w:szCs w:val="21"/>
                <w:highlight w:val="none"/>
              </w:rPr>
              <w:t>供应商对是否符合要求做如实声明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373" w:hRule="atLeast"/>
        </w:trPr>
        <w:tc>
          <w:tcPr>
            <w:tcW w:w="6561" w:type="dxa"/>
            <w:noWrap w:val="0"/>
            <w:tcMar>
              <w:top w:w="0" w:type="dxa"/>
              <w:left w:w="105" w:type="dxa"/>
              <w:bottom w:w="0" w:type="dxa"/>
              <w:right w:w="105" w:type="dxa"/>
            </w:tcMar>
            <w:vAlign w:val="center"/>
          </w:tcPr>
          <w:p>
            <w:pPr>
              <w:pStyle w:val="11"/>
              <w:widowControl/>
              <w:spacing w:before="0" w:beforeAutospacing="0" w:after="0" w:afterAutospacing="0" w:line="375" w:lineRule="atLeast"/>
              <w:jc w:val="both"/>
              <w:rPr>
                <w:color w:val="auto"/>
                <w:sz w:val="21"/>
                <w:szCs w:val="21"/>
                <w:highlight w:val="none"/>
              </w:rPr>
            </w:pPr>
            <w:r>
              <w:rPr>
                <w:rFonts w:hint="eastAsia" w:ascii="宋体" w:hAnsi="宋体" w:cs="宋体"/>
                <w:color w:val="auto"/>
                <w:sz w:val="21"/>
                <w:szCs w:val="21"/>
                <w:highlight w:val="none"/>
              </w:rPr>
              <w:t>（1）具有独立承担民事责任的能力</w:t>
            </w:r>
          </w:p>
        </w:tc>
        <w:tc>
          <w:tcPr>
            <w:tcW w:w="2298" w:type="dxa"/>
            <w:noWrap w:val="0"/>
            <w:tcMar>
              <w:top w:w="0" w:type="dxa"/>
              <w:left w:w="105" w:type="dxa"/>
              <w:bottom w:w="0" w:type="dxa"/>
              <w:right w:w="105" w:type="dxa"/>
            </w:tcMar>
            <w:vAlign w:val="center"/>
          </w:tcPr>
          <w:p>
            <w:pPr>
              <w:widowControl/>
              <w:jc w:val="lef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373" w:hRule="atLeast"/>
        </w:trPr>
        <w:tc>
          <w:tcPr>
            <w:tcW w:w="6561" w:type="dxa"/>
            <w:noWrap w:val="0"/>
            <w:tcMar>
              <w:top w:w="0" w:type="dxa"/>
              <w:left w:w="105" w:type="dxa"/>
              <w:bottom w:w="0" w:type="dxa"/>
              <w:right w:w="105" w:type="dxa"/>
            </w:tcMar>
            <w:vAlign w:val="center"/>
          </w:tcPr>
          <w:p>
            <w:pPr>
              <w:pStyle w:val="11"/>
              <w:widowControl/>
              <w:spacing w:before="0" w:beforeAutospacing="0" w:after="0" w:afterAutospacing="0" w:line="375" w:lineRule="atLeast"/>
              <w:jc w:val="both"/>
              <w:rPr>
                <w:color w:val="auto"/>
                <w:sz w:val="21"/>
                <w:szCs w:val="21"/>
                <w:highlight w:val="none"/>
              </w:rPr>
            </w:pPr>
            <w:r>
              <w:rPr>
                <w:rFonts w:hint="eastAsia" w:ascii="宋体" w:hAnsi="宋体" w:cs="宋体"/>
                <w:color w:val="auto"/>
                <w:sz w:val="21"/>
                <w:szCs w:val="21"/>
                <w:highlight w:val="none"/>
              </w:rPr>
              <w:t>（2）具有良好的商业信誉和健全的财务会计制度</w:t>
            </w:r>
          </w:p>
        </w:tc>
        <w:tc>
          <w:tcPr>
            <w:tcW w:w="2298" w:type="dxa"/>
            <w:noWrap w:val="0"/>
            <w:tcMar>
              <w:top w:w="0" w:type="dxa"/>
              <w:left w:w="105" w:type="dxa"/>
              <w:bottom w:w="0" w:type="dxa"/>
              <w:right w:w="105" w:type="dxa"/>
            </w:tcMar>
            <w:vAlign w:val="center"/>
          </w:tcPr>
          <w:p>
            <w:pPr>
              <w:widowControl/>
              <w:jc w:val="lef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373" w:hRule="atLeast"/>
        </w:trPr>
        <w:tc>
          <w:tcPr>
            <w:tcW w:w="6561" w:type="dxa"/>
            <w:noWrap w:val="0"/>
            <w:tcMar>
              <w:top w:w="0" w:type="dxa"/>
              <w:left w:w="105" w:type="dxa"/>
              <w:bottom w:w="0" w:type="dxa"/>
              <w:right w:w="105" w:type="dxa"/>
            </w:tcMar>
            <w:vAlign w:val="center"/>
          </w:tcPr>
          <w:p>
            <w:pPr>
              <w:pStyle w:val="11"/>
              <w:widowControl/>
              <w:spacing w:before="0" w:beforeAutospacing="0" w:after="0" w:afterAutospacing="0" w:line="375" w:lineRule="atLeast"/>
              <w:jc w:val="both"/>
              <w:rPr>
                <w:color w:val="auto"/>
                <w:sz w:val="21"/>
                <w:szCs w:val="21"/>
                <w:highlight w:val="none"/>
              </w:rPr>
            </w:pPr>
            <w:r>
              <w:rPr>
                <w:rFonts w:hint="eastAsia" w:ascii="宋体" w:hAnsi="宋体" w:cs="宋体"/>
                <w:color w:val="auto"/>
                <w:sz w:val="21"/>
                <w:szCs w:val="21"/>
                <w:highlight w:val="none"/>
              </w:rPr>
              <w:t>（3）具有履行合同所必需的设备和专业技术能力</w:t>
            </w:r>
          </w:p>
        </w:tc>
        <w:tc>
          <w:tcPr>
            <w:tcW w:w="2298" w:type="dxa"/>
            <w:noWrap w:val="0"/>
            <w:tcMar>
              <w:top w:w="0" w:type="dxa"/>
              <w:left w:w="105" w:type="dxa"/>
              <w:bottom w:w="0" w:type="dxa"/>
              <w:right w:w="105" w:type="dxa"/>
            </w:tcMar>
            <w:vAlign w:val="center"/>
          </w:tcPr>
          <w:p>
            <w:pPr>
              <w:widowControl/>
              <w:jc w:val="lef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373" w:hRule="atLeast"/>
        </w:trPr>
        <w:tc>
          <w:tcPr>
            <w:tcW w:w="6561" w:type="dxa"/>
            <w:noWrap w:val="0"/>
            <w:tcMar>
              <w:top w:w="0" w:type="dxa"/>
              <w:left w:w="105" w:type="dxa"/>
              <w:bottom w:w="0" w:type="dxa"/>
              <w:right w:w="105" w:type="dxa"/>
            </w:tcMar>
            <w:vAlign w:val="center"/>
          </w:tcPr>
          <w:p>
            <w:pPr>
              <w:pStyle w:val="11"/>
              <w:widowControl/>
              <w:spacing w:before="0" w:beforeAutospacing="0" w:after="0" w:afterAutospacing="0" w:line="375" w:lineRule="atLeast"/>
              <w:jc w:val="both"/>
              <w:rPr>
                <w:color w:val="auto"/>
                <w:sz w:val="21"/>
                <w:szCs w:val="21"/>
                <w:highlight w:val="none"/>
              </w:rPr>
            </w:pPr>
            <w:r>
              <w:rPr>
                <w:rFonts w:hint="eastAsia" w:ascii="宋体" w:hAnsi="宋体" w:cs="宋体"/>
                <w:color w:val="auto"/>
                <w:sz w:val="21"/>
                <w:szCs w:val="21"/>
                <w:highlight w:val="none"/>
              </w:rPr>
              <w:t>（4）有依法缴纳税收和社会保障资金的良好记录</w:t>
            </w:r>
          </w:p>
        </w:tc>
        <w:tc>
          <w:tcPr>
            <w:tcW w:w="2298" w:type="dxa"/>
            <w:noWrap w:val="0"/>
            <w:tcMar>
              <w:top w:w="0" w:type="dxa"/>
              <w:left w:w="105" w:type="dxa"/>
              <w:bottom w:w="0" w:type="dxa"/>
              <w:right w:w="105" w:type="dxa"/>
            </w:tcMar>
            <w:vAlign w:val="center"/>
          </w:tcPr>
          <w:p>
            <w:pPr>
              <w:widowControl/>
              <w:jc w:val="lef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736" w:hRule="atLeast"/>
        </w:trPr>
        <w:tc>
          <w:tcPr>
            <w:tcW w:w="6561" w:type="dxa"/>
            <w:noWrap w:val="0"/>
            <w:tcMar>
              <w:top w:w="0" w:type="dxa"/>
              <w:left w:w="105" w:type="dxa"/>
              <w:bottom w:w="0" w:type="dxa"/>
              <w:right w:w="105" w:type="dxa"/>
            </w:tcMar>
            <w:vAlign w:val="center"/>
          </w:tcPr>
          <w:p>
            <w:pPr>
              <w:pStyle w:val="11"/>
              <w:widowControl/>
              <w:spacing w:before="0" w:beforeAutospacing="0" w:after="0" w:afterAutospacing="0" w:line="375" w:lineRule="atLeast"/>
              <w:jc w:val="both"/>
              <w:rPr>
                <w:color w:val="auto"/>
                <w:sz w:val="21"/>
                <w:szCs w:val="21"/>
                <w:highlight w:val="none"/>
              </w:rPr>
            </w:pPr>
            <w:r>
              <w:rPr>
                <w:rFonts w:hint="eastAsia" w:ascii="宋体" w:hAnsi="宋体" w:cs="宋体"/>
                <w:color w:val="auto"/>
                <w:sz w:val="21"/>
                <w:szCs w:val="21"/>
                <w:highlight w:val="none"/>
              </w:rPr>
              <w:t>（5）参加政府招标活动前三年内，在经营活动中没有重大违法记录</w:t>
            </w:r>
          </w:p>
        </w:tc>
        <w:tc>
          <w:tcPr>
            <w:tcW w:w="2298" w:type="dxa"/>
            <w:noWrap w:val="0"/>
            <w:tcMar>
              <w:top w:w="0" w:type="dxa"/>
              <w:left w:w="105" w:type="dxa"/>
              <w:bottom w:w="0" w:type="dxa"/>
              <w:right w:w="105" w:type="dxa"/>
            </w:tcMar>
            <w:vAlign w:val="center"/>
          </w:tcPr>
          <w:p>
            <w:pPr>
              <w:widowControl/>
              <w:jc w:val="lef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373" w:hRule="atLeast"/>
        </w:trPr>
        <w:tc>
          <w:tcPr>
            <w:tcW w:w="6561" w:type="dxa"/>
            <w:noWrap w:val="0"/>
            <w:tcMar>
              <w:top w:w="0" w:type="dxa"/>
              <w:left w:w="105" w:type="dxa"/>
              <w:bottom w:w="0" w:type="dxa"/>
              <w:right w:w="105" w:type="dxa"/>
            </w:tcMar>
            <w:vAlign w:val="center"/>
          </w:tcPr>
          <w:p>
            <w:pPr>
              <w:pStyle w:val="11"/>
              <w:widowControl/>
              <w:spacing w:before="0" w:beforeAutospacing="0" w:after="0" w:afterAutospacing="0" w:line="375" w:lineRule="atLeast"/>
              <w:jc w:val="both"/>
              <w:rPr>
                <w:color w:val="auto"/>
                <w:sz w:val="21"/>
                <w:szCs w:val="21"/>
                <w:highlight w:val="none"/>
              </w:rPr>
            </w:pPr>
            <w:r>
              <w:rPr>
                <w:rFonts w:hint="eastAsia" w:ascii="宋体" w:hAnsi="宋体" w:cs="宋体"/>
                <w:color w:val="auto"/>
                <w:sz w:val="21"/>
                <w:szCs w:val="21"/>
                <w:highlight w:val="none"/>
              </w:rPr>
              <w:t>（6）法律、行政法规规定的其他条件。</w:t>
            </w:r>
          </w:p>
        </w:tc>
        <w:tc>
          <w:tcPr>
            <w:tcW w:w="2298" w:type="dxa"/>
            <w:noWrap w:val="0"/>
            <w:tcMar>
              <w:top w:w="0" w:type="dxa"/>
              <w:left w:w="105" w:type="dxa"/>
              <w:bottom w:w="0" w:type="dxa"/>
              <w:right w:w="105" w:type="dxa"/>
            </w:tcMar>
            <w:vAlign w:val="center"/>
          </w:tcPr>
          <w:p>
            <w:pPr>
              <w:widowControl/>
              <w:jc w:val="lef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736" w:hRule="atLeast"/>
        </w:trPr>
        <w:tc>
          <w:tcPr>
            <w:tcW w:w="6561" w:type="dxa"/>
            <w:noWrap w:val="0"/>
            <w:tcMar>
              <w:top w:w="0" w:type="dxa"/>
              <w:left w:w="105" w:type="dxa"/>
              <w:bottom w:w="0" w:type="dxa"/>
              <w:right w:w="105" w:type="dxa"/>
            </w:tcMar>
            <w:vAlign w:val="center"/>
          </w:tcPr>
          <w:p>
            <w:pPr>
              <w:pStyle w:val="11"/>
              <w:widowControl/>
              <w:spacing w:before="0" w:beforeAutospacing="0" w:after="0" w:afterAutospacing="0" w:line="375" w:lineRule="atLeast"/>
              <w:jc w:val="both"/>
              <w:rPr>
                <w:color w:val="auto"/>
                <w:sz w:val="21"/>
                <w:szCs w:val="21"/>
                <w:highlight w:val="none"/>
              </w:rPr>
            </w:pPr>
            <w:r>
              <w:rPr>
                <w:rStyle w:val="15"/>
                <w:rFonts w:hint="eastAsia" w:ascii="宋体" w:hAnsi="宋体" w:cs="宋体"/>
                <w:color w:val="auto"/>
                <w:sz w:val="21"/>
                <w:szCs w:val="21"/>
                <w:highlight w:val="none"/>
              </w:rPr>
              <w:t>磋商文件对合格供应商的一般规定</w:t>
            </w:r>
          </w:p>
        </w:tc>
        <w:tc>
          <w:tcPr>
            <w:tcW w:w="2298" w:type="dxa"/>
            <w:noWrap w:val="0"/>
            <w:tcMar>
              <w:top w:w="0" w:type="dxa"/>
              <w:left w:w="105" w:type="dxa"/>
              <w:bottom w:w="0" w:type="dxa"/>
              <w:right w:w="105" w:type="dxa"/>
            </w:tcMar>
            <w:vAlign w:val="center"/>
          </w:tcPr>
          <w:p>
            <w:pPr>
              <w:pStyle w:val="11"/>
              <w:widowControl/>
              <w:spacing w:before="0" w:beforeAutospacing="0" w:after="0" w:afterAutospacing="0" w:line="375" w:lineRule="atLeast"/>
              <w:jc w:val="both"/>
              <w:rPr>
                <w:color w:val="auto"/>
                <w:sz w:val="21"/>
                <w:szCs w:val="21"/>
                <w:highlight w:val="none"/>
              </w:rPr>
            </w:pPr>
            <w:r>
              <w:rPr>
                <w:rStyle w:val="15"/>
                <w:rFonts w:hint="eastAsia" w:ascii="宋体" w:hAnsi="宋体" w:cs="宋体"/>
                <w:color w:val="auto"/>
                <w:sz w:val="21"/>
                <w:szCs w:val="21"/>
                <w:highlight w:val="none"/>
              </w:rPr>
              <w:t>供应商对是否违反一般规定做如实声明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1099" w:hRule="atLeast"/>
        </w:trPr>
        <w:tc>
          <w:tcPr>
            <w:tcW w:w="6561" w:type="dxa"/>
            <w:noWrap w:val="0"/>
            <w:tcMar>
              <w:top w:w="0" w:type="dxa"/>
              <w:left w:w="105" w:type="dxa"/>
              <w:bottom w:w="0" w:type="dxa"/>
              <w:right w:w="105" w:type="dxa"/>
            </w:tcMar>
            <w:vAlign w:val="center"/>
          </w:tcPr>
          <w:p>
            <w:pPr>
              <w:pStyle w:val="11"/>
              <w:widowControl/>
              <w:spacing w:before="0" w:beforeAutospacing="0" w:after="0" w:afterAutospacing="0" w:line="375" w:lineRule="atLeast"/>
              <w:jc w:val="both"/>
              <w:rPr>
                <w:color w:val="auto"/>
                <w:sz w:val="21"/>
                <w:szCs w:val="21"/>
                <w:highlight w:val="none"/>
              </w:rPr>
            </w:pPr>
            <w:r>
              <w:rPr>
                <w:rFonts w:hint="eastAsia" w:ascii="宋体" w:hAnsi="宋体" w:cs="宋体"/>
                <w:color w:val="auto"/>
                <w:sz w:val="21"/>
                <w:szCs w:val="21"/>
                <w:highlight w:val="none"/>
              </w:rPr>
              <w:t>供应商应当遵守中国的有关法律、法规和规章的规定，参加政府招标活动时已经自觉检查并按照政府招标相关法律规定，主动回避相应利害关系。</w:t>
            </w:r>
          </w:p>
        </w:tc>
        <w:tc>
          <w:tcPr>
            <w:tcW w:w="2298" w:type="dxa"/>
            <w:noWrap w:val="0"/>
            <w:tcMar>
              <w:top w:w="0" w:type="dxa"/>
              <w:left w:w="105" w:type="dxa"/>
              <w:bottom w:w="0" w:type="dxa"/>
              <w:right w:w="105" w:type="dxa"/>
            </w:tcMar>
            <w:vAlign w:val="center"/>
          </w:tcPr>
          <w:p>
            <w:pPr>
              <w:widowControl/>
              <w:jc w:val="lef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1051" w:hRule="atLeast"/>
        </w:trPr>
        <w:tc>
          <w:tcPr>
            <w:tcW w:w="6561" w:type="dxa"/>
            <w:noWrap w:val="0"/>
            <w:tcMar>
              <w:top w:w="0" w:type="dxa"/>
              <w:left w:w="105" w:type="dxa"/>
              <w:bottom w:w="0" w:type="dxa"/>
              <w:right w:w="105" w:type="dxa"/>
            </w:tcMar>
            <w:vAlign w:val="center"/>
          </w:tcPr>
          <w:p>
            <w:pPr>
              <w:pStyle w:val="11"/>
              <w:widowControl/>
              <w:spacing w:before="0" w:beforeAutospacing="0" w:after="0" w:afterAutospacing="0" w:line="375" w:lineRule="atLeast"/>
              <w:jc w:val="both"/>
              <w:rPr>
                <w:color w:val="auto"/>
                <w:sz w:val="21"/>
                <w:szCs w:val="21"/>
                <w:highlight w:val="none"/>
              </w:rPr>
            </w:pPr>
            <w:r>
              <w:rPr>
                <w:rFonts w:hint="eastAsia" w:ascii="宋体" w:hAnsi="宋体" w:cs="宋体"/>
                <w:color w:val="auto"/>
                <w:sz w:val="21"/>
                <w:szCs w:val="21"/>
                <w:highlight w:val="none"/>
              </w:rPr>
              <w:t>为招标项目提供整体设计、规范编制或项目管理、监理、检测等服务的供应商，不得再参加该招标项目除整体设计、规范编制和项目管理、监理、检测等服务之外的其他招标活动。</w:t>
            </w:r>
          </w:p>
        </w:tc>
        <w:tc>
          <w:tcPr>
            <w:tcW w:w="2298" w:type="dxa"/>
            <w:noWrap w:val="0"/>
            <w:tcMar>
              <w:top w:w="0" w:type="dxa"/>
              <w:left w:w="105" w:type="dxa"/>
              <w:bottom w:w="0" w:type="dxa"/>
              <w:right w:w="105" w:type="dxa"/>
            </w:tcMar>
            <w:vAlign w:val="center"/>
          </w:tcPr>
          <w:p>
            <w:pPr>
              <w:widowControl/>
              <w:jc w:val="lef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858" w:hRule="atLeast"/>
        </w:trPr>
        <w:tc>
          <w:tcPr>
            <w:tcW w:w="6561" w:type="dxa"/>
            <w:noWrap w:val="0"/>
            <w:tcMar>
              <w:top w:w="0" w:type="dxa"/>
              <w:left w:w="105" w:type="dxa"/>
              <w:bottom w:w="0" w:type="dxa"/>
              <w:right w:w="105" w:type="dxa"/>
            </w:tcMar>
            <w:vAlign w:val="center"/>
          </w:tcPr>
          <w:p>
            <w:pPr>
              <w:pStyle w:val="11"/>
              <w:widowControl/>
              <w:spacing w:before="0" w:beforeAutospacing="0" w:after="0" w:afterAutospacing="0" w:line="375" w:lineRule="atLeast"/>
              <w:jc w:val="both"/>
              <w:rPr>
                <w:color w:val="auto"/>
                <w:sz w:val="21"/>
                <w:szCs w:val="21"/>
                <w:highlight w:val="none"/>
              </w:rPr>
            </w:pPr>
            <w:r>
              <w:rPr>
                <w:rFonts w:hint="eastAsia" w:ascii="宋体" w:hAnsi="宋体" w:cs="宋体"/>
                <w:color w:val="auto"/>
                <w:sz w:val="21"/>
                <w:szCs w:val="21"/>
                <w:highlight w:val="none"/>
              </w:rPr>
              <w:t>列入失信被执行人、重大税收违法案件当事人名单、政府招标严重违法失信行为记录名单的供应商，不得参加政府招标活动。</w:t>
            </w:r>
          </w:p>
        </w:tc>
        <w:tc>
          <w:tcPr>
            <w:tcW w:w="2298" w:type="dxa"/>
            <w:noWrap w:val="0"/>
            <w:tcMar>
              <w:top w:w="0" w:type="dxa"/>
              <w:left w:w="105" w:type="dxa"/>
              <w:bottom w:w="0" w:type="dxa"/>
              <w:right w:w="105" w:type="dxa"/>
            </w:tcMar>
            <w:vAlign w:val="center"/>
          </w:tcPr>
          <w:p>
            <w:pPr>
              <w:widowControl/>
              <w:jc w:val="left"/>
              <w:rPr>
                <w:color w:val="auto"/>
                <w:szCs w:val="21"/>
                <w:highlight w:val="none"/>
              </w:rPr>
            </w:pPr>
          </w:p>
        </w:tc>
      </w:tr>
    </w:tbl>
    <w:p>
      <w:pPr>
        <w:pStyle w:val="11"/>
        <w:widowControl/>
        <w:spacing w:before="75" w:beforeAutospacing="0" w:after="75" w:afterAutospacing="0" w:line="375" w:lineRule="atLeast"/>
        <w:ind w:firstLine="480"/>
        <w:jc w:val="both"/>
        <w:rPr>
          <w:color w:val="auto"/>
          <w:highlight w:val="none"/>
        </w:rPr>
      </w:pPr>
      <w:r>
        <w:rPr>
          <w:rFonts w:hint="eastAsia" w:ascii="宋体" w:hAnsi="宋体" w:cs="宋体"/>
          <w:color w:val="auto"/>
          <w:highlight w:val="none"/>
        </w:rPr>
        <w:t>2、我方对上述声明的真实性、合法性、准确性、有效性负责，并愿意根据磋商文件和磋商过程中贵方要求提供全部现有资料、数据、文件等予以证实。</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备注：对于接受联合体形式的磋商且供应商是联合体的，则联合体各成员都应当提交本资格证明文件。</w:t>
      </w:r>
    </w:p>
    <w:p>
      <w:pPr>
        <w:pStyle w:val="11"/>
        <w:widowControl/>
        <w:spacing w:before="75" w:beforeAutospacing="0" w:after="75" w:afterAutospacing="0" w:line="375" w:lineRule="atLeast"/>
        <w:jc w:val="both"/>
        <w:rPr>
          <w:color w:val="auto"/>
          <w:highlight w:val="none"/>
        </w:rPr>
      </w:pPr>
      <w:r>
        <w:rPr>
          <w:rFonts w:hint="eastAsia" w:ascii="宋体" w:hAnsi="宋体" w:cs="宋体"/>
          <w:color w:val="auto"/>
          <w:highlight w:val="none"/>
        </w:rPr>
        <w:t>供应商代表：</w:t>
      </w:r>
      <w:r>
        <w:rPr>
          <w:rFonts w:hint="eastAsia" w:ascii="宋体" w:hAnsi="宋体" w:cs="宋体"/>
          <w:color w:val="auto"/>
          <w:highlight w:val="none"/>
          <w:u w:val="single"/>
        </w:rPr>
        <w:t>             （签字） </w:t>
      </w:r>
    </w:p>
    <w:p>
      <w:pPr>
        <w:pStyle w:val="11"/>
        <w:widowControl/>
        <w:spacing w:before="75" w:beforeAutospacing="0" w:after="75" w:afterAutospacing="0" w:line="375" w:lineRule="atLeast"/>
        <w:jc w:val="both"/>
        <w:rPr>
          <w:color w:val="auto"/>
          <w:highlight w:val="none"/>
        </w:rPr>
      </w:pPr>
      <w:r>
        <w:rPr>
          <w:rFonts w:hint="eastAsia" w:ascii="宋体" w:hAnsi="宋体" w:cs="宋体"/>
          <w:color w:val="auto"/>
          <w:highlight w:val="none"/>
        </w:rPr>
        <w:t>供应商名称：</w:t>
      </w:r>
      <w:r>
        <w:rPr>
          <w:rFonts w:hint="eastAsia" w:ascii="宋体" w:hAnsi="宋体" w:cs="宋体"/>
          <w:color w:val="auto"/>
          <w:highlight w:val="none"/>
          <w:u w:val="single"/>
        </w:rPr>
        <w:t>         （全称并加盖公章） </w:t>
      </w:r>
    </w:p>
    <w:p>
      <w:pPr>
        <w:pStyle w:val="11"/>
        <w:widowControl/>
        <w:spacing w:before="75" w:beforeAutospacing="0" w:after="75" w:afterAutospacing="0" w:line="375" w:lineRule="atLeast"/>
        <w:rPr>
          <w:color w:val="auto"/>
          <w:highlight w:val="none"/>
        </w:rPr>
      </w:pPr>
      <w:r>
        <w:rPr>
          <w:rFonts w:hint="eastAsia" w:ascii="宋体" w:hAnsi="宋体" w:cs="宋体"/>
          <w:color w:val="auto"/>
          <w:highlight w:val="none"/>
        </w:rPr>
        <w:t>日  期： </w:t>
      </w:r>
      <w:r>
        <w:rPr>
          <w:rFonts w:hint="eastAsia" w:ascii="宋体" w:hAnsi="宋体" w:cs="宋体"/>
          <w:color w:val="auto"/>
          <w:highlight w:val="none"/>
          <w:u w:val="single"/>
        </w:rPr>
        <w:t>    </w:t>
      </w:r>
      <w:r>
        <w:rPr>
          <w:rFonts w:hint="eastAsia" w:ascii="宋体" w:hAnsi="宋体" w:cs="宋体"/>
          <w:color w:val="auto"/>
          <w:highlight w:val="none"/>
        </w:rPr>
        <w:t>年 </w:t>
      </w:r>
      <w:r>
        <w:rPr>
          <w:rFonts w:hint="eastAsia" w:ascii="宋体" w:hAnsi="宋体" w:cs="宋体"/>
          <w:color w:val="auto"/>
          <w:highlight w:val="none"/>
          <w:u w:val="single"/>
        </w:rPr>
        <w:t>   </w:t>
      </w:r>
      <w:r>
        <w:rPr>
          <w:rFonts w:hint="eastAsia" w:ascii="宋体" w:hAnsi="宋体" w:cs="宋体"/>
          <w:color w:val="auto"/>
          <w:highlight w:val="none"/>
        </w:rPr>
        <w:t>月 </w:t>
      </w:r>
      <w:r>
        <w:rPr>
          <w:rFonts w:hint="eastAsia" w:ascii="宋体" w:hAnsi="宋体" w:cs="宋体"/>
          <w:color w:val="auto"/>
          <w:highlight w:val="none"/>
          <w:u w:val="single"/>
        </w:rPr>
        <w:t>   </w:t>
      </w:r>
      <w:r>
        <w:rPr>
          <w:rFonts w:hint="eastAsia" w:ascii="宋体" w:hAnsi="宋体" w:cs="宋体"/>
          <w:color w:val="auto"/>
          <w:highlight w:val="none"/>
        </w:rPr>
        <w:t>日</w:t>
      </w:r>
    </w:p>
    <w:p>
      <w:pPr>
        <w:pStyle w:val="11"/>
        <w:widowControl/>
        <w:spacing w:before="75" w:beforeAutospacing="0" w:after="240" w:afterAutospacing="0"/>
        <w:rPr>
          <w:color w:val="auto"/>
          <w:highlight w:val="none"/>
        </w:rPr>
      </w:pP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附件3-3             </w:t>
      </w:r>
      <w:r>
        <w:rPr>
          <w:rStyle w:val="15"/>
          <w:rFonts w:hint="eastAsia" w:ascii="宋体" w:hAnsi="宋体" w:cs="宋体"/>
          <w:color w:val="auto"/>
          <w:highlight w:val="none"/>
        </w:rPr>
        <w:t>单位负责人授权书</w:t>
      </w:r>
    </w:p>
    <w:p>
      <w:pPr>
        <w:pStyle w:val="11"/>
        <w:widowControl/>
        <w:spacing w:before="75" w:beforeAutospacing="0" w:after="75" w:afterAutospacing="0" w:line="405" w:lineRule="atLeast"/>
        <w:rPr>
          <w:color w:val="auto"/>
          <w:highlight w:val="none"/>
        </w:rPr>
      </w:pPr>
      <w:r>
        <w:rPr>
          <w:rFonts w:hint="eastAsia" w:ascii="宋体" w:hAnsi="宋体" w:cs="宋体"/>
          <w:color w:val="auto"/>
          <w:highlight w:val="none"/>
        </w:rPr>
        <w:t> </w:t>
      </w:r>
    </w:p>
    <w:p>
      <w:pPr>
        <w:pStyle w:val="11"/>
        <w:widowControl/>
        <w:spacing w:before="40" w:beforeAutospacing="0" w:after="40" w:afterAutospacing="0" w:line="360" w:lineRule="atLeast"/>
        <w:rPr>
          <w:color w:val="auto"/>
          <w:highlight w:val="none"/>
        </w:rPr>
      </w:pPr>
      <w:r>
        <w:rPr>
          <w:rFonts w:hint="eastAsia" w:ascii="宋体" w:hAnsi="宋体" w:cs="宋体"/>
          <w:color w:val="auto"/>
          <w:highlight w:val="none"/>
        </w:rPr>
        <w:t>致：</w:t>
      </w:r>
      <w:r>
        <w:rPr>
          <w:rFonts w:hint="eastAsia" w:ascii="宋体" w:hAnsi="宋体" w:cs="宋体"/>
          <w:color w:val="auto"/>
          <w:highlight w:val="none"/>
          <w:u w:val="single"/>
        </w:rPr>
        <w:t>     (招标人或招标代理机构</w:t>
      </w:r>
      <w:r>
        <w:rPr>
          <w:rFonts w:cs="Calibri"/>
          <w:color w:val="auto"/>
          <w:highlight w:val="none"/>
          <w:u w:val="single"/>
        </w:rPr>
        <w:t>)      </w:t>
      </w:r>
      <w:r>
        <w:rPr>
          <w:rFonts w:hint="eastAsia" w:ascii="宋体" w:hAnsi="宋体" w:cs="宋体"/>
          <w:color w:val="auto"/>
          <w:highlight w:val="none"/>
          <w:u w:val="single"/>
        </w:rPr>
        <w:t> </w:t>
      </w:r>
    </w:p>
    <w:p>
      <w:pPr>
        <w:pStyle w:val="11"/>
        <w:widowControl/>
        <w:spacing w:before="40" w:beforeAutospacing="0" w:after="40" w:afterAutospacing="0" w:line="360" w:lineRule="atLeast"/>
        <w:ind w:firstLine="480"/>
        <w:rPr>
          <w:color w:val="auto"/>
          <w:highlight w:val="none"/>
        </w:rPr>
      </w:pPr>
      <w:r>
        <w:rPr>
          <w:rFonts w:hint="eastAsia" w:ascii="宋体" w:hAnsi="宋体" w:cs="宋体"/>
          <w:color w:val="auto"/>
          <w:highlight w:val="none"/>
        </w:rPr>
        <w:t>我方的单位负责人</w:t>
      </w:r>
      <w:r>
        <w:rPr>
          <w:rFonts w:hint="eastAsia" w:ascii="宋体" w:hAnsi="宋体" w:cs="宋体"/>
          <w:color w:val="auto"/>
          <w:highlight w:val="none"/>
          <w:u w:val="single"/>
        </w:rPr>
        <w:t>（填写“单位负责人全名”）</w:t>
      </w:r>
      <w:r>
        <w:rPr>
          <w:rFonts w:hint="eastAsia" w:ascii="宋体" w:hAnsi="宋体" w:cs="宋体"/>
          <w:color w:val="auto"/>
          <w:highlight w:val="none"/>
        </w:rPr>
        <w:t>授权</w:t>
      </w:r>
      <w:r>
        <w:rPr>
          <w:rFonts w:hint="eastAsia" w:ascii="宋体" w:hAnsi="宋体" w:cs="宋体"/>
          <w:color w:val="auto"/>
          <w:highlight w:val="none"/>
          <w:u w:val="single"/>
        </w:rPr>
        <w:t>（填写“供应商代表全名”）</w:t>
      </w:r>
      <w:r>
        <w:rPr>
          <w:rFonts w:hint="eastAsia" w:ascii="宋体" w:hAnsi="宋体" w:cs="宋体"/>
          <w:color w:val="auto"/>
          <w:highlight w:val="none"/>
        </w:rPr>
        <w:t>为我方的供应商代表，代表我方参加</w:t>
      </w:r>
      <w:r>
        <w:rPr>
          <w:rFonts w:hint="eastAsia" w:ascii="宋体" w:hAnsi="宋体" w:cs="宋体"/>
          <w:color w:val="auto"/>
          <w:highlight w:val="none"/>
          <w:u w:val="single"/>
        </w:rPr>
        <w:t>  （填写“项目名称”）   </w:t>
      </w:r>
      <w:r>
        <w:rPr>
          <w:rFonts w:hint="eastAsia" w:ascii="宋体" w:hAnsi="宋体" w:cs="宋体"/>
          <w:color w:val="auto"/>
          <w:highlight w:val="none"/>
        </w:rPr>
        <w:t>项目（项目编号：</w:t>
      </w:r>
      <w:r>
        <w:rPr>
          <w:rFonts w:hint="eastAsia" w:ascii="宋体" w:hAnsi="宋体" w:cs="宋体"/>
          <w:color w:val="auto"/>
          <w:highlight w:val="none"/>
          <w:u w:val="single"/>
        </w:rPr>
        <w:t>         </w:t>
      </w:r>
      <w:r>
        <w:rPr>
          <w:rFonts w:hint="eastAsia" w:ascii="宋体" w:hAnsi="宋体" w:cs="宋体"/>
          <w:color w:val="auto"/>
          <w:highlight w:val="none"/>
        </w:rPr>
        <w:t>）的响应磋商，全权代表我方处理响应磋商过程的一切事宜，包括但不限于：递交响应文件、参与磋商、澄清、签约等工作。供应商代表在响应磋商过程中所签署的一切文件和处理与之有关的一切事务，我方均予以认可并对此承担责任。</w:t>
      </w:r>
    </w:p>
    <w:p>
      <w:pPr>
        <w:pStyle w:val="11"/>
        <w:widowControl/>
        <w:spacing w:before="40" w:beforeAutospacing="0" w:after="40" w:afterAutospacing="0" w:line="360" w:lineRule="atLeast"/>
        <w:rPr>
          <w:color w:val="auto"/>
          <w:highlight w:val="none"/>
        </w:rPr>
      </w:pPr>
      <w:r>
        <w:rPr>
          <w:rFonts w:hint="eastAsia" w:ascii="宋体" w:hAnsi="宋体" w:cs="宋体"/>
          <w:color w:val="auto"/>
          <w:highlight w:val="none"/>
        </w:rPr>
        <w:t>    供应商代表无转委权。特此授权。</w:t>
      </w:r>
    </w:p>
    <w:p>
      <w:pPr>
        <w:pStyle w:val="11"/>
        <w:widowControl/>
        <w:spacing w:before="40" w:beforeAutospacing="0" w:after="40" w:afterAutospacing="0" w:line="360" w:lineRule="atLeast"/>
        <w:jc w:val="center"/>
        <w:rPr>
          <w:color w:val="auto"/>
          <w:highlight w:val="none"/>
        </w:rPr>
      </w:pPr>
      <w:r>
        <w:rPr>
          <w:rFonts w:hint="eastAsia" w:ascii="宋体" w:hAnsi="宋体" w:cs="宋体"/>
          <w:color w:val="auto"/>
          <w:highlight w:val="none"/>
        </w:rPr>
        <w:t>（以下无正文）</w:t>
      </w:r>
    </w:p>
    <w:p>
      <w:pPr>
        <w:pStyle w:val="11"/>
        <w:widowControl/>
        <w:spacing w:before="40" w:beforeAutospacing="0" w:after="40" w:afterAutospacing="0" w:line="360" w:lineRule="atLeast"/>
        <w:rPr>
          <w:color w:val="auto"/>
          <w:highlight w:val="none"/>
        </w:rPr>
      </w:pPr>
      <w:r>
        <w:rPr>
          <w:rFonts w:hint="eastAsia" w:ascii="宋体" w:hAnsi="宋体" w:cs="宋体"/>
          <w:color w:val="auto"/>
          <w:highlight w:val="none"/>
        </w:rPr>
        <w:t>单位负责人：</w:t>
      </w:r>
      <w:r>
        <w:rPr>
          <w:rFonts w:hint="eastAsia" w:ascii="宋体" w:hAnsi="宋体" w:cs="宋体"/>
          <w:color w:val="auto"/>
          <w:highlight w:val="none"/>
          <w:u w:val="single"/>
        </w:rPr>
        <w:t>    </w:t>
      </w:r>
      <w:r>
        <w:rPr>
          <w:rFonts w:hint="eastAsia" w:ascii="宋体" w:hAnsi="宋体" w:cs="宋体"/>
          <w:color w:val="auto"/>
          <w:highlight w:val="none"/>
        </w:rPr>
        <w:t>身份证号：</w:t>
      </w:r>
      <w:r>
        <w:rPr>
          <w:rFonts w:hint="eastAsia" w:ascii="宋体" w:hAnsi="宋体" w:cs="宋体"/>
          <w:color w:val="auto"/>
          <w:highlight w:val="none"/>
          <w:u w:val="single"/>
        </w:rPr>
        <w:t>           </w:t>
      </w:r>
      <w:r>
        <w:rPr>
          <w:rFonts w:hint="eastAsia" w:ascii="宋体" w:hAnsi="宋体" w:cs="宋体"/>
          <w:color w:val="auto"/>
          <w:highlight w:val="none"/>
        </w:rPr>
        <w:t>手机：</w:t>
      </w:r>
      <w:r>
        <w:rPr>
          <w:rFonts w:hint="eastAsia" w:ascii="宋体" w:hAnsi="宋体" w:cs="宋体"/>
          <w:color w:val="auto"/>
          <w:highlight w:val="none"/>
          <w:u w:val="single"/>
        </w:rPr>
        <w:t>              </w:t>
      </w:r>
    </w:p>
    <w:p>
      <w:pPr>
        <w:pStyle w:val="11"/>
        <w:widowControl/>
        <w:spacing w:before="40" w:beforeAutospacing="0" w:after="40" w:afterAutospacing="0" w:line="360" w:lineRule="atLeast"/>
        <w:rPr>
          <w:color w:val="auto"/>
          <w:highlight w:val="none"/>
        </w:rPr>
      </w:pPr>
      <w:r>
        <w:rPr>
          <w:rFonts w:hint="eastAsia" w:ascii="宋体" w:hAnsi="宋体" w:cs="宋体"/>
          <w:color w:val="auto"/>
          <w:highlight w:val="none"/>
        </w:rPr>
        <w:t>供应商代表：</w:t>
      </w:r>
      <w:r>
        <w:rPr>
          <w:rFonts w:hint="eastAsia" w:ascii="宋体" w:hAnsi="宋体" w:cs="宋体"/>
          <w:color w:val="auto"/>
          <w:highlight w:val="none"/>
          <w:u w:val="single"/>
        </w:rPr>
        <w:t>    </w:t>
      </w:r>
      <w:r>
        <w:rPr>
          <w:rFonts w:hint="eastAsia" w:ascii="宋体" w:hAnsi="宋体" w:cs="宋体"/>
          <w:color w:val="auto"/>
          <w:highlight w:val="none"/>
        </w:rPr>
        <w:t>身份证号：</w:t>
      </w:r>
      <w:r>
        <w:rPr>
          <w:rFonts w:hint="eastAsia" w:ascii="宋体" w:hAnsi="宋体" w:cs="宋体"/>
          <w:color w:val="auto"/>
          <w:highlight w:val="none"/>
          <w:u w:val="single"/>
        </w:rPr>
        <w:t xml:space="preserve">            </w:t>
      </w:r>
      <w:r>
        <w:rPr>
          <w:rFonts w:hint="eastAsia" w:ascii="宋体" w:hAnsi="宋体" w:cs="宋体"/>
          <w:color w:val="auto"/>
          <w:highlight w:val="none"/>
        </w:rPr>
        <w:t>手机：</w:t>
      </w:r>
      <w:r>
        <w:rPr>
          <w:rFonts w:hint="eastAsia" w:ascii="宋体" w:hAnsi="宋体" w:cs="宋体"/>
          <w:color w:val="auto"/>
          <w:highlight w:val="none"/>
          <w:u w:val="single"/>
        </w:rPr>
        <w:t>             </w:t>
      </w:r>
    </w:p>
    <w:p>
      <w:pPr>
        <w:pStyle w:val="11"/>
        <w:widowControl/>
        <w:spacing w:before="40" w:beforeAutospacing="0" w:after="40" w:afterAutospacing="0" w:line="360" w:lineRule="atLeast"/>
        <w:rPr>
          <w:color w:val="auto"/>
          <w:highlight w:val="none"/>
        </w:rPr>
      </w:pPr>
      <w:r>
        <w:rPr>
          <w:rFonts w:hint="eastAsia" w:ascii="宋体" w:hAnsi="宋体" w:cs="宋体"/>
          <w:color w:val="auto"/>
          <w:highlight w:val="none"/>
        </w:rPr>
        <w:t> </w:t>
      </w:r>
    </w:p>
    <w:p>
      <w:pPr>
        <w:pStyle w:val="11"/>
        <w:widowControl/>
        <w:spacing w:before="40" w:beforeAutospacing="0" w:after="40" w:afterAutospacing="0" w:line="360" w:lineRule="atLeast"/>
        <w:rPr>
          <w:color w:val="auto"/>
          <w:highlight w:val="none"/>
        </w:rPr>
      </w:pPr>
      <w:r>
        <w:rPr>
          <w:rFonts w:hint="eastAsia" w:ascii="宋体" w:hAnsi="宋体" w:cs="宋体"/>
          <w:color w:val="auto"/>
          <w:highlight w:val="none"/>
        </w:rPr>
        <w:t>授权方</w:t>
      </w:r>
    </w:p>
    <w:p>
      <w:pPr>
        <w:pStyle w:val="11"/>
        <w:widowControl/>
        <w:spacing w:before="40" w:beforeAutospacing="0" w:after="40" w:afterAutospacing="0" w:line="360" w:lineRule="atLeast"/>
        <w:rPr>
          <w:color w:val="auto"/>
          <w:highlight w:val="none"/>
        </w:rPr>
      </w:pPr>
      <w:r>
        <w:rPr>
          <w:rFonts w:hint="eastAsia" w:ascii="宋体" w:hAnsi="宋体" w:cs="宋体"/>
          <w:color w:val="auto"/>
          <w:highlight w:val="none"/>
        </w:rPr>
        <w:t>供应商：</w:t>
      </w:r>
      <w:r>
        <w:rPr>
          <w:rFonts w:hint="eastAsia" w:ascii="宋体" w:hAnsi="宋体" w:cs="宋体"/>
          <w:color w:val="auto"/>
          <w:highlight w:val="none"/>
          <w:u w:val="single"/>
        </w:rPr>
        <w:t>（全称并加盖单位公章）</w:t>
      </w:r>
    </w:p>
    <w:p>
      <w:pPr>
        <w:pStyle w:val="11"/>
        <w:widowControl/>
        <w:spacing w:before="40" w:beforeAutospacing="0" w:after="40" w:afterAutospacing="0" w:line="360" w:lineRule="atLeast"/>
        <w:rPr>
          <w:color w:val="auto"/>
          <w:highlight w:val="none"/>
        </w:rPr>
      </w:pPr>
      <w:r>
        <w:rPr>
          <w:rFonts w:hint="eastAsia" w:ascii="宋体" w:hAnsi="宋体" w:cs="宋体"/>
          <w:color w:val="auto"/>
          <w:highlight w:val="none"/>
        </w:rPr>
        <w:t>单位负责人签字或盖章：</w:t>
      </w:r>
      <w:r>
        <w:rPr>
          <w:rFonts w:hint="eastAsia" w:ascii="宋体" w:hAnsi="宋体" w:cs="宋体"/>
          <w:color w:val="auto"/>
          <w:highlight w:val="none"/>
          <w:u w:val="single"/>
        </w:rPr>
        <w:t>      </w:t>
      </w:r>
    </w:p>
    <w:p>
      <w:pPr>
        <w:pStyle w:val="11"/>
        <w:widowControl/>
        <w:spacing w:before="40" w:beforeAutospacing="0" w:after="40" w:afterAutospacing="0" w:line="360" w:lineRule="atLeast"/>
        <w:rPr>
          <w:color w:val="auto"/>
          <w:highlight w:val="none"/>
        </w:rPr>
      </w:pPr>
      <w:r>
        <w:rPr>
          <w:rFonts w:hint="eastAsia" w:ascii="宋体" w:hAnsi="宋体" w:cs="宋体"/>
          <w:color w:val="auto"/>
          <w:highlight w:val="none"/>
        </w:rPr>
        <w:t> </w:t>
      </w:r>
    </w:p>
    <w:p>
      <w:pPr>
        <w:pStyle w:val="11"/>
        <w:widowControl/>
        <w:spacing w:before="40" w:beforeAutospacing="0" w:after="40" w:afterAutospacing="0" w:line="360" w:lineRule="atLeast"/>
        <w:rPr>
          <w:color w:val="auto"/>
          <w:highlight w:val="none"/>
        </w:rPr>
      </w:pPr>
      <w:r>
        <w:rPr>
          <w:rFonts w:hint="eastAsia" w:ascii="宋体" w:hAnsi="宋体" w:cs="宋体"/>
          <w:color w:val="auto"/>
          <w:highlight w:val="none"/>
        </w:rPr>
        <w:t>接受授权方</w:t>
      </w:r>
    </w:p>
    <w:p>
      <w:pPr>
        <w:pStyle w:val="11"/>
        <w:widowControl/>
        <w:spacing w:before="40" w:beforeAutospacing="0" w:after="40" w:afterAutospacing="0" w:line="360" w:lineRule="atLeast"/>
        <w:rPr>
          <w:color w:val="auto"/>
          <w:highlight w:val="none"/>
        </w:rPr>
      </w:pPr>
      <w:r>
        <w:rPr>
          <w:rFonts w:hint="eastAsia" w:ascii="宋体" w:hAnsi="宋体" w:cs="宋体"/>
          <w:color w:val="auto"/>
          <w:highlight w:val="none"/>
        </w:rPr>
        <w:t>供应商代表签字：</w:t>
      </w:r>
      <w:r>
        <w:rPr>
          <w:rFonts w:hint="eastAsia" w:ascii="宋体" w:hAnsi="宋体" w:cs="宋体"/>
          <w:color w:val="auto"/>
          <w:highlight w:val="none"/>
          <w:u w:val="single"/>
        </w:rPr>
        <w:t>        </w:t>
      </w:r>
    </w:p>
    <w:p>
      <w:pPr>
        <w:pStyle w:val="11"/>
        <w:widowControl/>
        <w:spacing w:before="40" w:beforeAutospacing="0" w:after="40" w:afterAutospacing="0" w:line="360" w:lineRule="atLeast"/>
        <w:jc w:val="right"/>
        <w:rPr>
          <w:color w:val="auto"/>
          <w:highlight w:val="none"/>
        </w:rPr>
      </w:pPr>
      <w:r>
        <w:rPr>
          <w:rFonts w:hint="eastAsia" w:ascii="宋体" w:hAnsi="宋体" w:cs="宋体"/>
          <w:color w:val="auto"/>
          <w:highlight w:val="none"/>
        </w:rPr>
        <w:t>签署日期：</w:t>
      </w:r>
      <w:r>
        <w:rPr>
          <w:rFonts w:hint="eastAsia" w:ascii="宋体" w:hAnsi="宋体" w:cs="宋体"/>
          <w:color w:val="auto"/>
          <w:highlight w:val="none"/>
          <w:u w:val="single"/>
        </w:rPr>
        <w:t>    </w:t>
      </w:r>
      <w:r>
        <w:rPr>
          <w:rFonts w:hint="eastAsia" w:ascii="宋体" w:hAnsi="宋体" w:cs="宋体"/>
          <w:color w:val="auto"/>
          <w:highlight w:val="none"/>
        </w:rPr>
        <w:t>年</w:t>
      </w:r>
      <w:r>
        <w:rPr>
          <w:rFonts w:hint="eastAsia" w:ascii="宋体" w:hAnsi="宋体" w:cs="宋体"/>
          <w:color w:val="auto"/>
          <w:highlight w:val="none"/>
          <w:u w:val="single"/>
        </w:rPr>
        <w:t>   </w:t>
      </w:r>
      <w:r>
        <w:rPr>
          <w:rFonts w:hint="eastAsia" w:ascii="宋体" w:hAnsi="宋体" w:cs="宋体"/>
          <w:color w:val="auto"/>
          <w:highlight w:val="none"/>
        </w:rPr>
        <w:t>月</w:t>
      </w:r>
      <w:r>
        <w:rPr>
          <w:rFonts w:hint="eastAsia" w:ascii="宋体" w:hAnsi="宋体" w:cs="宋体"/>
          <w:color w:val="auto"/>
          <w:highlight w:val="none"/>
          <w:u w:val="single"/>
        </w:rPr>
        <w:t>   </w:t>
      </w:r>
      <w:r>
        <w:rPr>
          <w:rFonts w:hint="eastAsia" w:ascii="宋体" w:hAnsi="宋体" w:cs="宋体"/>
          <w:color w:val="auto"/>
          <w:highlight w:val="none"/>
        </w:rPr>
        <w:t>日 </w:t>
      </w:r>
    </w:p>
    <w:p>
      <w:pPr>
        <w:pStyle w:val="11"/>
        <w:widowControl/>
        <w:spacing w:before="40" w:beforeAutospacing="0" w:after="40" w:afterAutospacing="0" w:line="405" w:lineRule="atLeast"/>
        <w:rPr>
          <w:color w:val="auto"/>
          <w:highlight w:val="none"/>
        </w:rPr>
      </w:pPr>
      <w:r>
        <w:rPr>
          <w:rFonts w:hint="eastAsia" w:ascii="宋体" w:hAnsi="宋体" w:cs="宋体"/>
          <w:color w:val="auto"/>
          <w:highlight w:val="none"/>
        </w:rPr>
        <w:t>附：单位负责人、供应商代表的身份证正反面复印件</w:t>
      </w:r>
    </w:p>
    <w:tbl>
      <w:tblPr>
        <w:tblStyle w:val="13"/>
        <w:tblW w:w="914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7" w:type="dxa"/>
          <w:left w:w="17" w:type="dxa"/>
          <w:bottom w:w="17" w:type="dxa"/>
          <w:right w:w="17" w:type="dxa"/>
        </w:tblCellMar>
      </w:tblPr>
      <w:tblGrid>
        <w:gridCol w:w="9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955" w:hRule="atLeast"/>
        </w:trPr>
        <w:tc>
          <w:tcPr>
            <w:tcW w:w="9140" w:type="dxa"/>
            <w:noWrap w:val="0"/>
            <w:tcMar>
              <w:top w:w="0" w:type="dxa"/>
              <w:left w:w="105" w:type="dxa"/>
              <w:bottom w:w="0" w:type="dxa"/>
              <w:right w:w="105" w:type="dxa"/>
            </w:tcMar>
            <w:vAlign w:val="center"/>
          </w:tcPr>
          <w:p>
            <w:pPr>
              <w:pStyle w:val="11"/>
              <w:widowControl/>
              <w:spacing w:before="0" w:beforeAutospacing="0" w:after="0" w:afterAutospacing="0" w:line="405" w:lineRule="atLeast"/>
              <w:jc w:val="both"/>
              <w:rPr>
                <w:color w:val="auto"/>
                <w:highlight w:val="none"/>
              </w:rPr>
            </w:pPr>
            <w:r>
              <w:rPr>
                <w:rStyle w:val="15"/>
                <w:rFonts w:hint="eastAsia" w:ascii="宋体" w:hAnsi="宋体" w:cs="宋体"/>
                <w:color w:val="auto"/>
                <w:highlight w:val="none"/>
              </w:rPr>
              <w:t> </w:t>
            </w:r>
          </w:p>
          <w:p>
            <w:pPr>
              <w:pStyle w:val="11"/>
              <w:widowControl/>
              <w:spacing w:before="0" w:beforeAutospacing="0" w:after="0" w:afterAutospacing="0" w:line="405" w:lineRule="atLeast"/>
              <w:jc w:val="center"/>
              <w:rPr>
                <w:color w:val="auto"/>
                <w:highlight w:val="none"/>
              </w:rPr>
            </w:pPr>
            <w:r>
              <w:rPr>
                <w:rStyle w:val="15"/>
                <w:rFonts w:hint="eastAsia" w:ascii="宋体" w:hAnsi="宋体" w:cs="宋体"/>
                <w:color w:val="auto"/>
                <w:highlight w:val="none"/>
              </w:rPr>
              <w:t>要求：真实、有效、清晰</w:t>
            </w:r>
          </w:p>
          <w:p>
            <w:pPr>
              <w:pStyle w:val="11"/>
              <w:widowControl/>
              <w:spacing w:before="0" w:beforeAutospacing="0" w:after="0" w:afterAutospacing="0" w:line="405" w:lineRule="atLeast"/>
              <w:jc w:val="center"/>
              <w:rPr>
                <w:color w:val="auto"/>
                <w:highlight w:val="none"/>
              </w:rPr>
            </w:pPr>
            <w:r>
              <w:rPr>
                <w:rStyle w:val="15"/>
                <w:rFonts w:hint="eastAsia" w:ascii="宋体" w:hAnsi="宋体" w:cs="宋体"/>
                <w:color w:val="auto"/>
                <w:highlight w:val="none"/>
              </w:rPr>
              <w:t> </w:t>
            </w:r>
          </w:p>
        </w:tc>
      </w:tr>
    </w:tbl>
    <w:p>
      <w:pPr>
        <w:pStyle w:val="11"/>
        <w:widowControl/>
        <w:spacing w:before="40" w:beforeAutospacing="0" w:after="40" w:afterAutospacing="0" w:line="285" w:lineRule="atLeast"/>
        <w:jc w:val="both"/>
        <w:rPr>
          <w:color w:val="auto"/>
          <w:highlight w:val="none"/>
        </w:rPr>
      </w:pPr>
      <w:r>
        <w:rPr>
          <w:rFonts w:hint="eastAsia" w:ascii="宋体" w:hAnsi="宋体" w:cs="宋体"/>
          <w:color w:val="auto"/>
          <w:sz w:val="21"/>
          <w:szCs w:val="21"/>
          <w:highlight w:val="none"/>
        </w:rPr>
        <w:t>★注意：</w:t>
      </w:r>
    </w:p>
    <w:p>
      <w:pPr>
        <w:pStyle w:val="11"/>
        <w:widowControl/>
        <w:spacing w:before="40" w:beforeAutospacing="0" w:after="40" w:afterAutospacing="0" w:line="285" w:lineRule="atLeast"/>
        <w:rPr>
          <w:color w:val="auto"/>
          <w:highlight w:val="none"/>
        </w:rPr>
      </w:pPr>
      <w:r>
        <w:rPr>
          <w:rFonts w:hint="eastAsia" w:ascii="宋体" w:hAnsi="宋体" w:cs="宋体"/>
          <w:color w:val="auto"/>
          <w:sz w:val="21"/>
          <w:szCs w:val="21"/>
          <w:highlight w:val="none"/>
        </w:rPr>
        <w:t>1、企业（银行、保险、石油石化、电力、电信等行业除外）、事业单位和社会团体法人的“单位负责人”指</w:t>
      </w:r>
      <w:r>
        <w:rPr>
          <w:rStyle w:val="15"/>
          <w:rFonts w:hint="eastAsia" w:ascii="宋体" w:hAnsi="宋体" w:cs="宋体"/>
          <w:color w:val="auto"/>
          <w:sz w:val="21"/>
          <w:szCs w:val="21"/>
          <w:highlight w:val="none"/>
        </w:rPr>
        <w:t>法定代表人</w:t>
      </w:r>
      <w:r>
        <w:rPr>
          <w:rFonts w:hint="eastAsia" w:ascii="宋体" w:hAnsi="宋体" w:cs="宋体"/>
          <w:color w:val="auto"/>
          <w:sz w:val="21"/>
          <w:szCs w:val="21"/>
          <w:highlight w:val="none"/>
        </w:rPr>
        <w:t>，即与实际提交的“营业执照等证明文件”载明的一致。</w:t>
      </w:r>
    </w:p>
    <w:p>
      <w:pPr>
        <w:pStyle w:val="11"/>
        <w:widowControl/>
        <w:spacing w:before="40" w:beforeAutospacing="0" w:after="40" w:afterAutospacing="0" w:line="285" w:lineRule="atLeast"/>
        <w:rPr>
          <w:color w:val="auto"/>
          <w:highlight w:val="none"/>
        </w:rPr>
      </w:pPr>
      <w:r>
        <w:rPr>
          <w:rFonts w:hint="eastAsia" w:ascii="宋体" w:hAnsi="宋体" w:cs="宋体"/>
          <w:color w:val="auto"/>
          <w:sz w:val="21"/>
          <w:szCs w:val="21"/>
          <w:highlight w:val="none"/>
        </w:rPr>
        <w:t>2、银行、保险、石油石化、电力、电信等行业：以法人身份参加磋商的，“单位负责人”指</w:t>
      </w:r>
      <w:r>
        <w:rPr>
          <w:rStyle w:val="15"/>
          <w:rFonts w:hint="eastAsia" w:ascii="宋体" w:hAnsi="宋体" w:cs="宋体"/>
          <w:color w:val="auto"/>
          <w:sz w:val="21"/>
          <w:szCs w:val="21"/>
          <w:highlight w:val="none"/>
        </w:rPr>
        <w:t>法定代表人</w:t>
      </w:r>
      <w:r>
        <w:rPr>
          <w:rFonts w:hint="eastAsia" w:ascii="宋体" w:hAnsi="宋体" w:cs="宋体"/>
          <w:color w:val="auto"/>
          <w:sz w:val="21"/>
          <w:szCs w:val="21"/>
          <w:highlight w:val="none"/>
        </w:rPr>
        <w:t>，即与实际提交的“营业执照等证明文件”载明的一致；以非法人身份参加磋商的，“单位负责人”指</w:t>
      </w:r>
      <w:r>
        <w:rPr>
          <w:rStyle w:val="15"/>
          <w:rFonts w:hint="eastAsia" w:ascii="宋体" w:hAnsi="宋体" w:cs="宋体"/>
          <w:color w:val="auto"/>
          <w:sz w:val="21"/>
          <w:szCs w:val="21"/>
          <w:highlight w:val="none"/>
        </w:rPr>
        <w:t>代表单位行使职权的主要负责人</w:t>
      </w:r>
      <w:r>
        <w:rPr>
          <w:rFonts w:hint="eastAsia" w:ascii="宋体" w:hAnsi="宋体" w:cs="宋体"/>
          <w:color w:val="auto"/>
          <w:sz w:val="21"/>
          <w:szCs w:val="21"/>
          <w:highlight w:val="none"/>
        </w:rPr>
        <w:t>，即与实际提交的“营业执照等证明文件”载明的一致。</w:t>
      </w:r>
    </w:p>
    <w:p>
      <w:pPr>
        <w:pStyle w:val="11"/>
        <w:widowControl/>
        <w:spacing w:before="40" w:beforeAutospacing="0" w:after="40" w:afterAutospacing="0" w:line="285" w:lineRule="atLeast"/>
        <w:rPr>
          <w:color w:val="auto"/>
          <w:highlight w:val="none"/>
        </w:rPr>
      </w:pPr>
      <w:r>
        <w:rPr>
          <w:rFonts w:hint="eastAsia" w:ascii="宋体" w:hAnsi="宋体" w:cs="宋体"/>
          <w:color w:val="auto"/>
          <w:sz w:val="21"/>
          <w:szCs w:val="21"/>
          <w:highlight w:val="none"/>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pStyle w:val="11"/>
        <w:widowControl/>
        <w:spacing w:before="40" w:beforeAutospacing="0" w:after="40" w:afterAutospacing="0" w:line="285" w:lineRule="atLeast"/>
        <w:jc w:val="both"/>
        <w:rPr>
          <w:color w:val="auto"/>
          <w:highlight w:val="none"/>
        </w:rPr>
      </w:pPr>
      <w:r>
        <w:rPr>
          <w:rFonts w:hint="eastAsia" w:ascii="宋体" w:hAnsi="宋体" w:cs="宋体"/>
          <w:color w:val="auto"/>
          <w:sz w:val="21"/>
          <w:szCs w:val="21"/>
          <w:highlight w:val="none"/>
        </w:rPr>
        <w:t>4、对于接受联合体形式的磋商且供应商是联合体的，则只需要联合体的牵头方提交本授权书，在纸质响应文件正本中的本授权书应为原件。</w:t>
      </w:r>
    </w:p>
    <w:p>
      <w:pPr>
        <w:pStyle w:val="16"/>
        <w:jc w:val="center"/>
        <w:outlineLvl w:val="2"/>
        <w:rPr>
          <w:color w:val="auto"/>
          <w:highlight w:val="none"/>
        </w:rPr>
      </w:pPr>
      <w:r>
        <w:rPr>
          <w:b/>
          <w:color w:val="auto"/>
          <w:sz w:val="28"/>
          <w:highlight w:val="none"/>
        </w:rPr>
        <w:t>附件3-4 证明材料</w:t>
      </w:r>
    </w:p>
    <w:p>
      <w:pPr>
        <w:pStyle w:val="16"/>
        <w:ind w:firstLine="480"/>
        <w:rPr>
          <w:color w:val="auto"/>
          <w:highlight w:val="none"/>
        </w:rPr>
      </w:pPr>
      <w:r>
        <w:rPr>
          <w:color w:val="auto"/>
          <w:highlight w:val="none"/>
        </w:rPr>
        <w:t>注：根据采购文件须知前附表1第1项号的“（2）特定资格条件”要求，允许供应商采用资格承诺制的，可提供符合要求的3-4-1资格承诺函，视为满足采购文件的资格要求，供应商根据响应文件格式3-4-1、3-4-2提供其中一种证明材料，若重复提供导致的不利后果，由供应商自行负责。</w:t>
      </w:r>
    </w:p>
    <w:p>
      <w:pPr>
        <w:pStyle w:val="16"/>
        <w:jc w:val="center"/>
        <w:outlineLvl w:val="2"/>
        <w:rPr>
          <w:color w:val="auto"/>
          <w:highlight w:val="none"/>
        </w:rPr>
      </w:pPr>
      <w:r>
        <w:rPr>
          <w:b/>
          <w:color w:val="auto"/>
          <w:sz w:val="28"/>
          <w:highlight w:val="none"/>
        </w:rPr>
        <w:t>附件3-4-1 福建省政府采购供应商资格承诺函</w:t>
      </w:r>
    </w:p>
    <w:p>
      <w:pPr>
        <w:pStyle w:val="16"/>
        <w:ind w:firstLine="480"/>
        <w:rPr>
          <w:color w:val="auto"/>
          <w:highlight w:val="none"/>
        </w:rPr>
      </w:pPr>
      <w:r>
        <w:rPr>
          <w:color w:val="auto"/>
          <w:highlight w:val="none"/>
        </w:rPr>
        <w:t>致：</w:t>
      </w:r>
      <w:r>
        <w:rPr>
          <w:color w:val="auto"/>
          <w:highlight w:val="none"/>
          <w:u w:val="single"/>
        </w:rPr>
        <w:t>（采购人或采购代理机构）</w:t>
      </w:r>
    </w:p>
    <w:p>
      <w:pPr>
        <w:pStyle w:val="16"/>
        <w:ind w:firstLine="960"/>
        <w:rPr>
          <w:color w:val="auto"/>
          <w:highlight w:val="none"/>
        </w:rPr>
      </w:pPr>
      <w:r>
        <w:rPr>
          <w:color w:val="auto"/>
          <w:highlight w:val="none"/>
        </w:rPr>
        <w:t>单位名称(自然人姓名):</w:t>
      </w:r>
    </w:p>
    <w:p>
      <w:pPr>
        <w:pStyle w:val="16"/>
        <w:ind w:firstLine="960"/>
        <w:rPr>
          <w:color w:val="auto"/>
          <w:highlight w:val="none"/>
        </w:rPr>
      </w:pPr>
      <w:r>
        <w:rPr>
          <w:color w:val="auto"/>
          <w:highlight w:val="none"/>
        </w:rPr>
        <w:t>统一社会信用代码(自然人身份证号码):</w:t>
      </w:r>
    </w:p>
    <w:p>
      <w:pPr>
        <w:pStyle w:val="16"/>
        <w:ind w:firstLine="960"/>
        <w:rPr>
          <w:color w:val="auto"/>
          <w:highlight w:val="none"/>
        </w:rPr>
      </w:pPr>
      <w:r>
        <w:rPr>
          <w:color w:val="auto"/>
          <w:highlight w:val="none"/>
        </w:rPr>
        <w:t>法定代表人(负责人):</w:t>
      </w:r>
    </w:p>
    <w:p>
      <w:pPr>
        <w:pStyle w:val="16"/>
        <w:ind w:firstLine="960"/>
        <w:rPr>
          <w:color w:val="auto"/>
          <w:highlight w:val="none"/>
        </w:rPr>
      </w:pPr>
      <w:r>
        <w:rPr>
          <w:color w:val="auto"/>
          <w:highlight w:val="none"/>
        </w:rPr>
        <w:t>联系地址和电话:</w:t>
      </w:r>
    </w:p>
    <w:p>
      <w:pPr>
        <w:pStyle w:val="16"/>
        <w:ind w:firstLine="480"/>
        <w:rPr>
          <w:color w:val="auto"/>
          <w:highlight w:val="none"/>
        </w:rPr>
      </w:pPr>
      <w:r>
        <w:rPr>
          <w:color w:val="auto"/>
          <w:highlight w:val="none"/>
        </w:rPr>
        <w:t>我单位(本人)自愿参加本次政府采购活动，严格遵守《中华人民共和国政府采购法》及相关法律法规，坚守公开、公平公正和诚实信用等原则，依法诚信经营，并郑重承诺:</w:t>
      </w:r>
    </w:p>
    <w:p>
      <w:pPr>
        <w:pStyle w:val="16"/>
        <w:ind w:firstLine="480"/>
        <w:rPr>
          <w:color w:val="auto"/>
          <w:highlight w:val="none"/>
        </w:rPr>
      </w:pPr>
      <w:r>
        <w:rPr>
          <w:color w:val="auto"/>
          <w:highlight w:val="none"/>
        </w:rPr>
        <w:t>一、我单位(本人)具备采购文件要求以及《中华人民共和国政府采购法》第二十二条规定的条件:</w:t>
      </w:r>
    </w:p>
    <w:p>
      <w:pPr>
        <w:pStyle w:val="16"/>
        <w:ind w:firstLine="960"/>
        <w:rPr>
          <w:color w:val="auto"/>
          <w:highlight w:val="none"/>
        </w:rPr>
      </w:pPr>
      <w:r>
        <w:rPr>
          <w:color w:val="auto"/>
          <w:highlight w:val="none"/>
        </w:rPr>
        <w:t>1.具有独立承担民事责任的能力;</w:t>
      </w:r>
    </w:p>
    <w:p>
      <w:pPr>
        <w:pStyle w:val="16"/>
        <w:ind w:firstLine="960"/>
        <w:rPr>
          <w:color w:val="auto"/>
          <w:highlight w:val="none"/>
        </w:rPr>
      </w:pPr>
      <w:r>
        <w:rPr>
          <w:color w:val="auto"/>
          <w:highlight w:val="none"/>
        </w:rPr>
        <w:t>2.具有良好的商业信誉和健全的财务会计制度;</w:t>
      </w:r>
    </w:p>
    <w:p>
      <w:pPr>
        <w:pStyle w:val="16"/>
        <w:ind w:firstLine="960"/>
        <w:rPr>
          <w:color w:val="auto"/>
          <w:highlight w:val="none"/>
        </w:rPr>
      </w:pPr>
      <w:r>
        <w:rPr>
          <w:color w:val="auto"/>
          <w:highlight w:val="none"/>
        </w:rPr>
        <w:t>3.具有履行合同所必需的设备和专业技术能力;</w:t>
      </w:r>
    </w:p>
    <w:p>
      <w:pPr>
        <w:pStyle w:val="16"/>
        <w:ind w:firstLine="960"/>
        <w:rPr>
          <w:color w:val="auto"/>
          <w:highlight w:val="none"/>
        </w:rPr>
      </w:pPr>
      <w:r>
        <w:rPr>
          <w:color w:val="auto"/>
          <w:highlight w:val="none"/>
        </w:rPr>
        <w:t>4.有依法缴纳税收和社会保障资金的良好记录;</w:t>
      </w:r>
    </w:p>
    <w:p>
      <w:pPr>
        <w:pStyle w:val="16"/>
        <w:ind w:firstLine="960"/>
        <w:rPr>
          <w:color w:val="auto"/>
          <w:highlight w:val="none"/>
        </w:rPr>
      </w:pPr>
      <w:r>
        <w:rPr>
          <w:color w:val="auto"/>
          <w:highlight w:val="none"/>
        </w:rPr>
        <w:t>5.参加政府采购活动前三年内，在经营活动中没有重大违法记录；</w:t>
      </w:r>
    </w:p>
    <w:p>
      <w:pPr>
        <w:pStyle w:val="16"/>
        <w:ind w:firstLine="960"/>
        <w:rPr>
          <w:color w:val="auto"/>
          <w:highlight w:val="none"/>
        </w:rPr>
      </w:pPr>
      <w:r>
        <w:rPr>
          <w:color w:val="auto"/>
          <w:highlight w:val="none"/>
        </w:rPr>
        <w:t>6.法律、行政法规规定的其他条件。</w:t>
      </w:r>
    </w:p>
    <w:p>
      <w:pPr>
        <w:pStyle w:val="16"/>
        <w:ind w:firstLine="480"/>
        <w:rPr>
          <w:color w:val="auto"/>
          <w:highlight w:val="none"/>
        </w:rPr>
      </w:pPr>
      <w:r>
        <w:rPr>
          <w:color w:val="auto"/>
          <w:highlight w:val="none"/>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pPr>
        <w:pStyle w:val="16"/>
        <w:ind w:firstLine="480"/>
        <w:rPr>
          <w:color w:val="auto"/>
          <w:highlight w:val="none"/>
        </w:rPr>
      </w:pPr>
      <w:r>
        <w:rPr>
          <w:color w:val="auto"/>
          <w:highlight w:val="none"/>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pPr>
        <w:pStyle w:val="16"/>
        <w:ind w:firstLine="480"/>
        <w:jc w:val="right"/>
        <w:rPr>
          <w:color w:val="auto"/>
          <w:highlight w:val="none"/>
        </w:rPr>
      </w:pPr>
      <w:r>
        <w:rPr>
          <w:color w:val="auto"/>
          <w:highlight w:val="none"/>
        </w:rPr>
        <w:t>供应商：</w:t>
      </w:r>
      <w:r>
        <w:rPr>
          <w:color w:val="auto"/>
          <w:highlight w:val="none"/>
          <w:u w:val="single"/>
        </w:rPr>
        <w:t>名称(单位公章):</w:t>
      </w:r>
    </w:p>
    <w:p>
      <w:pPr>
        <w:pStyle w:val="16"/>
        <w:ind w:firstLine="480"/>
        <w:jc w:val="right"/>
        <w:rPr>
          <w:color w:val="auto"/>
          <w:highlight w:val="none"/>
        </w:rPr>
      </w:pPr>
      <w:r>
        <w:rPr>
          <w:color w:val="auto"/>
          <w:highlight w:val="none"/>
        </w:rPr>
        <w:t>日期：</w:t>
      </w:r>
      <w:r>
        <w:rPr>
          <w:color w:val="auto"/>
          <w:highlight w:val="none"/>
          <w:u w:val="single"/>
        </w:rPr>
        <w:t>　　年　　月　　日</w:t>
      </w:r>
    </w:p>
    <w:p>
      <w:pPr>
        <w:pStyle w:val="16"/>
        <w:ind w:firstLine="480"/>
        <w:rPr>
          <w:color w:val="auto"/>
          <w:highlight w:val="none"/>
        </w:rPr>
      </w:pPr>
      <w:r>
        <w:rPr>
          <w:color w:val="auto"/>
          <w:highlight w:val="none"/>
        </w:rPr>
        <w:t>注：</w:t>
      </w:r>
    </w:p>
    <w:p>
      <w:pPr>
        <w:pStyle w:val="16"/>
        <w:ind w:firstLine="960"/>
        <w:rPr>
          <w:color w:val="auto"/>
          <w:highlight w:val="none"/>
        </w:rPr>
      </w:pPr>
      <w:r>
        <w:rPr>
          <w:color w:val="auto"/>
          <w:highlight w:val="none"/>
        </w:rPr>
        <w:t>1.我单位(本人)专指参加政府采购活动的供应商(含自然人)；</w:t>
      </w:r>
    </w:p>
    <w:p>
      <w:pPr>
        <w:pStyle w:val="16"/>
        <w:ind w:firstLine="960"/>
        <w:rPr>
          <w:color w:val="auto"/>
          <w:highlight w:val="none"/>
        </w:rPr>
      </w:pPr>
      <w:r>
        <w:rPr>
          <w:color w:val="auto"/>
          <w:highlight w:val="none"/>
        </w:rPr>
        <w:t>2.资格承诺的供应商应在投标(响应)文件中按此模板提供承诺函，否则，视为未按照招标文件规定提交</w:t>
      </w:r>
      <w:r>
        <w:rPr>
          <w:color w:val="auto"/>
          <w:highlight w:val="none"/>
          <w:lang w:eastAsia="zh-CN"/>
        </w:rPr>
        <w:t>供应商</w:t>
      </w:r>
      <w:r>
        <w:rPr>
          <w:color w:val="auto"/>
          <w:highlight w:val="none"/>
        </w:rPr>
        <w:t>的资格及资信文件，按资格审查不通过处理。</w:t>
      </w:r>
    </w:p>
    <w:p>
      <w:pPr>
        <w:pStyle w:val="16"/>
        <w:rPr>
          <w:rFonts w:hint="eastAsia" w:eastAsia="宋体"/>
          <w:color w:val="auto"/>
          <w:highlight w:val="none"/>
          <w:lang w:eastAsia="zh-CN"/>
        </w:rPr>
      </w:pPr>
      <w:r>
        <w:rPr>
          <w:color w:val="auto"/>
          <w:highlight w:val="none"/>
        </w:rPr>
        <w:t xml:space="preserve"> </w:t>
      </w:r>
    </w:p>
    <w:p>
      <w:pPr>
        <w:pStyle w:val="16"/>
        <w:rPr>
          <w:color w:val="auto"/>
          <w:highlight w:val="none"/>
        </w:rPr>
      </w:pPr>
      <w:r>
        <w:rPr>
          <w:color w:val="auto"/>
          <w:highlight w:val="none"/>
        </w:rPr>
        <w:br w:type="page"/>
      </w:r>
    </w:p>
    <w:p>
      <w:pPr>
        <w:pStyle w:val="16"/>
        <w:jc w:val="center"/>
        <w:outlineLvl w:val="2"/>
        <w:rPr>
          <w:color w:val="auto"/>
          <w:highlight w:val="none"/>
        </w:rPr>
      </w:pPr>
      <w:r>
        <w:rPr>
          <w:b/>
          <w:color w:val="auto"/>
          <w:sz w:val="28"/>
          <w:highlight w:val="none"/>
        </w:rPr>
        <w:t>附件3-4-2 证明材料</w:t>
      </w:r>
    </w:p>
    <w:p>
      <w:pPr>
        <w:pStyle w:val="11"/>
        <w:widowControl/>
        <w:spacing w:before="75" w:beforeAutospacing="0" w:after="75" w:afterAutospacing="0" w:line="435" w:lineRule="atLeast"/>
        <w:jc w:val="center"/>
        <w:rPr>
          <w:color w:val="auto"/>
          <w:highlight w:val="none"/>
        </w:rPr>
      </w:pPr>
      <w:r>
        <w:rPr>
          <w:rStyle w:val="15"/>
          <w:rFonts w:hint="eastAsia" w:ascii="宋体" w:hAnsi="宋体" w:cs="宋体"/>
          <w:color w:val="auto"/>
          <w:highlight w:val="none"/>
        </w:rPr>
        <w:t>营业执照等证明文件</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w:t>
      </w:r>
    </w:p>
    <w:p>
      <w:pPr>
        <w:pStyle w:val="11"/>
        <w:widowControl/>
        <w:spacing w:before="75" w:beforeAutospacing="0" w:after="75" w:afterAutospacing="0"/>
        <w:rPr>
          <w:color w:val="auto"/>
          <w:highlight w:val="none"/>
        </w:rPr>
      </w:pPr>
      <w:r>
        <w:rPr>
          <w:rFonts w:hint="eastAsia" w:ascii="宋体" w:hAnsi="宋体" w:cs="宋体"/>
          <w:color w:val="auto"/>
          <w:highlight w:val="none"/>
        </w:rPr>
        <w:t>致：</w:t>
      </w:r>
      <w:r>
        <w:rPr>
          <w:rFonts w:hint="eastAsia" w:ascii="宋体" w:hAnsi="宋体" w:cs="宋体"/>
          <w:color w:val="auto"/>
          <w:highlight w:val="none"/>
          <w:u w:val="single"/>
        </w:rPr>
        <w:t>     (招标人或招标代理机构)        </w:t>
      </w:r>
    </w:p>
    <w:p>
      <w:pPr>
        <w:pStyle w:val="11"/>
        <w:widowControl/>
        <w:spacing w:before="75" w:beforeAutospacing="0" w:after="75" w:afterAutospacing="0"/>
        <w:ind w:firstLine="420"/>
        <w:rPr>
          <w:color w:val="auto"/>
          <w:highlight w:val="none"/>
        </w:rPr>
      </w:pPr>
      <w:r>
        <w:rPr>
          <w:rFonts w:hint="eastAsia" w:ascii="宋体" w:hAnsi="宋体" w:cs="宋体"/>
          <w:color w:val="auto"/>
          <w:highlight w:val="none"/>
        </w:rPr>
        <w:t>（ ）供应商为法人（包括企业、事业单位和社会团体）的</w:t>
      </w:r>
    </w:p>
    <w:p>
      <w:pPr>
        <w:pStyle w:val="11"/>
        <w:widowControl/>
        <w:spacing w:before="75" w:beforeAutospacing="0" w:after="75" w:afterAutospacing="0"/>
        <w:ind w:firstLine="420"/>
        <w:rPr>
          <w:color w:val="auto"/>
          <w:highlight w:val="none"/>
        </w:rPr>
      </w:pPr>
      <w:r>
        <w:rPr>
          <w:rFonts w:hint="eastAsia" w:ascii="宋体" w:hAnsi="宋体" w:cs="宋体"/>
          <w:color w:val="auto"/>
          <w:highlight w:val="none"/>
        </w:rPr>
        <w:t>现附上由</w:t>
      </w:r>
      <w:r>
        <w:rPr>
          <w:rFonts w:hint="eastAsia" w:ascii="宋体" w:hAnsi="宋体" w:cs="宋体"/>
          <w:color w:val="auto"/>
          <w:highlight w:val="none"/>
          <w:u w:val="single"/>
        </w:rPr>
        <w:t>（填写“签发机关全称”）</w:t>
      </w:r>
      <w:r>
        <w:rPr>
          <w:rFonts w:hint="eastAsia" w:ascii="宋体" w:hAnsi="宋体" w:cs="宋体"/>
          <w:color w:val="auto"/>
          <w:highlight w:val="none"/>
        </w:rPr>
        <w:t>签发的我方统一社会信用代码</w:t>
      </w:r>
      <w:r>
        <w:rPr>
          <w:rFonts w:hint="eastAsia" w:ascii="宋体" w:hAnsi="宋体" w:cs="宋体"/>
          <w:color w:val="auto"/>
          <w:highlight w:val="none"/>
          <w:u w:val="single"/>
        </w:rPr>
        <w:t>（请填写法人的具体证照名称）</w:t>
      </w:r>
      <w:r>
        <w:rPr>
          <w:rFonts w:hint="eastAsia" w:ascii="宋体" w:hAnsi="宋体" w:cs="宋体"/>
          <w:color w:val="auto"/>
          <w:highlight w:val="none"/>
        </w:rPr>
        <w:t>复印件，该证明材料真实有效，否则我方负全部责任。</w:t>
      </w:r>
    </w:p>
    <w:p>
      <w:pPr>
        <w:pStyle w:val="11"/>
        <w:widowControl/>
        <w:spacing w:before="75" w:beforeAutospacing="0" w:after="75" w:afterAutospacing="0"/>
        <w:ind w:firstLine="420"/>
        <w:rPr>
          <w:color w:val="auto"/>
          <w:highlight w:val="none"/>
        </w:rPr>
      </w:pPr>
      <w:r>
        <w:rPr>
          <w:rFonts w:hint="eastAsia" w:ascii="宋体" w:hAnsi="宋体" w:cs="宋体"/>
          <w:color w:val="auto"/>
          <w:highlight w:val="none"/>
        </w:rPr>
        <w:t>（ ）供应商为非法人（包括其他组织、自然人）的</w:t>
      </w:r>
    </w:p>
    <w:p>
      <w:pPr>
        <w:pStyle w:val="11"/>
        <w:widowControl/>
        <w:spacing w:before="75" w:beforeAutospacing="0" w:after="75" w:afterAutospacing="0"/>
        <w:ind w:firstLine="420"/>
        <w:rPr>
          <w:color w:val="auto"/>
          <w:highlight w:val="none"/>
        </w:rPr>
      </w:pPr>
      <w:r>
        <w:rPr>
          <w:rFonts w:hint="eastAsia" w:ascii="宋体" w:hAnsi="宋体" w:cs="宋体"/>
          <w:color w:val="auto"/>
          <w:highlight w:val="none"/>
        </w:rPr>
        <w:t>□现附上由</w:t>
      </w:r>
      <w:r>
        <w:rPr>
          <w:rFonts w:hint="eastAsia" w:ascii="宋体" w:hAnsi="宋体" w:cs="宋体"/>
          <w:color w:val="auto"/>
          <w:highlight w:val="none"/>
          <w:u w:val="single"/>
        </w:rPr>
        <w:t>（填写“签发机关全称”）</w:t>
      </w:r>
      <w:r>
        <w:rPr>
          <w:rFonts w:hint="eastAsia" w:ascii="宋体" w:hAnsi="宋体" w:cs="宋体"/>
          <w:color w:val="auto"/>
          <w:highlight w:val="none"/>
        </w:rPr>
        <w:t>签发的我方</w:t>
      </w:r>
      <w:r>
        <w:rPr>
          <w:rFonts w:hint="eastAsia" w:ascii="宋体" w:hAnsi="宋体" w:cs="宋体"/>
          <w:color w:val="auto"/>
          <w:highlight w:val="none"/>
          <w:u w:val="single"/>
        </w:rPr>
        <w:t>（请填写非自然人的非法人的具体证照名称）</w:t>
      </w:r>
      <w:r>
        <w:rPr>
          <w:rFonts w:hint="eastAsia" w:ascii="宋体" w:hAnsi="宋体" w:cs="宋体"/>
          <w:color w:val="auto"/>
          <w:highlight w:val="none"/>
        </w:rPr>
        <w:t>复印件，该证明材料真实有效，否则我方负全部责任。</w:t>
      </w:r>
    </w:p>
    <w:p>
      <w:pPr>
        <w:pStyle w:val="11"/>
        <w:widowControl/>
        <w:spacing w:before="75" w:beforeAutospacing="0" w:after="75" w:afterAutospacing="0"/>
        <w:ind w:firstLine="420"/>
        <w:rPr>
          <w:color w:val="auto"/>
          <w:highlight w:val="none"/>
        </w:rPr>
      </w:pPr>
      <w:r>
        <w:rPr>
          <w:rFonts w:hint="eastAsia" w:ascii="宋体" w:hAnsi="宋体" w:cs="宋体"/>
          <w:color w:val="auto"/>
          <w:highlight w:val="none"/>
        </w:rPr>
        <w:t>□现附上由</w:t>
      </w:r>
      <w:r>
        <w:rPr>
          <w:rFonts w:hint="eastAsia" w:ascii="宋体" w:hAnsi="宋体" w:cs="宋体"/>
          <w:color w:val="auto"/>
          <w:highlight w:val="none"/>
          <w:u w:val="single"/>
        </w:rPr>
        <w:t>（填写“签发机关全称”）</w:t>
      </w:r>
      <w:r>
        <w:rPr>
          <w:rFonts w:hint="eastAsia" w:ascii="宋体" w:hAnsi="宋体" w:cs="宋体"/>
          <w:color w:val="auto"/>
          <w:highlight w:val="none"/>
        </w:rPr>
        <w:t>签发的我方</w:t>
      </w:r>
      <w:r>
        <w:rPr>
          <w:rFonts w:hint="eastAsia" w:ascii="宋体" w:hAnsi="宋体" w:cs="宋体"/>
          <w:color w:val="auto"/>
          <w:highlight w:val="none"/>
          <w:u w:val="single"/>
        </w:rPr>
        <w:t>（请填写自然人的身份证件名称）</w:t>
      </w:r>
      <w:r>
        <w:rPr>
          <w:rFonts w:hint="eastAsia" w:ascii="宋体" w:hAnsi="宋体" w:cs="宋体"/>
          <w:color w:val="auto"/>
          <w:highlight w:val="none"/>
        </w:rPr>
        <w:t>复印件，该证明材料真实有效，否则我方负全部责任。</w:t>
      </w:r>
    </w:p>
    <w:p>
      <w:pPr>
        <w:pStyle w:val="11"/>
        <w:widowControl/>
        <w:spacing w:before="75" w:beforeAutospacing="0" w:after="75" w:afterAutospacing="0"/>
        <w:rPr>
          <w:color w:val="auto"/>
          <w:highlight w:val="none"/>
        </w:rPr>
      </w:pPr>
      <w:r>
        <w:rPr>
          <w:rFonts w:hint="eastAsia" w:ascii="宋体" w:hAnsi="宋体" w:cs="宋体"/>
          <w:color w:val="auto"/>
          <w:highlight w:val="none"/>
        </w:rPr>
        <w:t> </w:t>
      </w:r>
    </w:p>
    <w:p>
      <w:pPr>
        <w:pStyle w:val="11"/>
        <w:widowControl/>
        <w:spacing w:before="75" w:beforeAutospacing="0" w:after="75" w:afterAutospacing="0"/>
        <w:rPr>
          <w:color w:val="auto"/>
          <w:highlight w:val="none"/>
        </w:rPr>
      </w:pPr>
      <w:r>
        <w:rPr>
          <w:rFonts w:hint="eastAsia" w:ascii="宋体" w:hAnsi="宋体" w:cs="宋体"/>
          <w:color w:val="auto"/>
          <w:highlight w:val="none"/>
        </w:rPr>
        <w:t>★注意：</w:t>
      </w:r>
    </w:p>
    <w:p>
      <w:pPr>
        <w:pStyle w:val="11"/>
        <w:widowControl/>
        <w:spacing w:before="75" w:beforeAutospacing="0" w:after="75" w:afterAutospacing="0"/>
        <w:rPr>
          <w:color w:val="auto"/>
          <w:highlight w:val="none"/>
        </w:rPr>
      </w:pPr>
      <w:r>
        <w:rPr>
          <w:rFonts w:hint="eastAsia" w:ascii="宋体" w:hAnsi="宋体" w:cs="宋体"/>
          <w:color w:val="auto"/>
          <w:highlight w:val="none"/>
        </w:rPr>
        <w:t>1、请供应商根据实际情况填写，在相应的（）中打“√”并选择相应的“□”（若有）后，再按照本格式的要求提供相应证明材料的复印件。</w:t>
      </w:r>
    </w:p>
    <w:p>
      <w:pPr>
        <w:pStyle w:val="11"/>
        <w:widowControl/>
        <w:spacing w:before="75" w:beforeAutospacing="0" w:after="75" w:afterAutospacing="0"/>
        <w:rPr>
          <w:color w:val="auto"/>
          <w:highlight w:val="none"/>
        </w:rPr>
      </w:pPr>
      <w:r>
        <w:rPr>
          <w:rFonts w:hint="eastAsia" w:ascii="宋体" w:hAnsi="宋体" w:cs="宋体"/>
          <w:color w:val="auto"/>
          <w:highlight w:val="none"/>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11"/>
        <w:widowControl/>
        <w:spacing w:before="75" w:beforeAutospacing="0" w:after="75" w:afterAutospacing="0"/>
        <w:rPr>
          <w:color w:val="auto"/>
          <w:highlight w:val="none"/>
        </w:rPr>
      </w:pPr>
      <w:r>
        <w:rPr>
          <w:rFonts w:hint="eastAsia" w:ascii="宋体" w:hAnsi="宋体" w:cs="宋体"/>
          <w:color w:val="auto"/>
          <w:highlight w:val="none"/>
        </w:rPr>
        <w:t>3、供应商提供的相应证明材料复印件均应符合：内容完整、清晰、整洁，并由供应商加盖其单位公章。</w:t>
      </w:r>
    </w:p>
    <w:p>
      <w:pPr>
        <w:pStyle w:val="11"/>
        <w:widowControl/>
        <w:spacing w:before="75" w:beforeAutospacing="0" w:after="75" w:afterAutospacing="0"/>
        <w:rPr>
          <w:color w:val="auto"/>
          <w:highlight w:val="none"/>
        </w:rPr>
      </w:pPr>
      <w:r>
        <w:rPr>
          <w:rFonts w:hint="eastAsia" w:ascii="宋体" w:hAnsi="宋体" w:cs="宋体"/>
          <w:color w:val="auto"/>
          <w:highlight w:val="none"/>
        </w:rPr>
        <w:t>4、对于接受联合体形式的磋商且供应商是联合体的，则联合体各成员都应当提交本资格证明文件。</w:t>
      </w:r>
    </w:p>
    <w:p>
      <w:pPr>
        <w:pStyle w:val="11"/>
        <w:widowControl/>
        <w:spacing w:before="75" w:beforeAutospacing="0" w:after="75" w:afterAutospacing="0"/>
        <w:rPr>
          <w:color w:val="auto"/>
          <w:highlight w:val="none"/>
        </w:rPr>
      </w:pPr>
      <w:r>
        <w:rPr>
          <w:rFonts w:hint="eastAsia" w:ascii="宋体" w:hAnsi="宋体" w:cs="宋体"/>
          <w:color w:val="auto"/>
          <w:highlight w:val="none"/>
        </w:rPr>
        <w:t> </w:t>
      </w:r>
    </w:p>
    <w:p>
      <w:pPr>
        <w:pStyle w:val="11"/>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供应商代表：</w:t>
      </w:r>
      <w:r>
        <w:rPr>
          <w:rFonts w:hint="eastAsia" w:ascii="宋体" w:hAnsi="宋体" w:cs="宋体"/>
          <w:color w:val="auto"/>
          <w:highlight w:val="none"/>
          <w:u w:val="single"/>
        </w:rPr>
        <w:t>             （签字） </w:t>
      </w:r>
    </w:p>
    <w:p>
      <w:pPr>
        <w:pStyle w:val="11"/>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供应商名称：</w:t>
      </w:r>
      <w:r>
        <w:rPr>
          <w:rFonts w:hint="eastAsia" w:ascii="宋体" w:hAnsi="宋体" w:cs="宋体"/>
          <w:color w:val="auto"/>
          <w:highlight w:val="none"/>
          <w:u w:val="single"/>
        </w:rPr>
        <w:t>         （全称并加盖公章）              </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日  期： </w:t>
      </w:r>
      <w:r>
        <w:rPr>
          <w:rFonts w:hint="eastAsia" w:ascii="宋体" w:hAnsi="宋体" w:cs="宋体"/>
          <w:color w:val="auto"/>
          <w:highlight w:val="none"/>
          <w:u w:val="single"/>
        </w:rPr>
        <w:t>    </w:t>
      </w:r>
      <w:r>
        <w:rPr>
          <w:rFonts w:hint="eastAsia" w:ascii="宋体" w:hAnsi="宋体" w:cs="宋体"/>
          <w:color w:val="auto"/>
          <w:highlight w:val="none"/>
        </w:rPr>
        <w:t>年 </w:t>
      </w:r>
      <w:r>
        <w:rPr>
          <w:rFonts w:hint="eastAsia" w:ascii="宋体" w:hAnsi="宋体" w:cs="宋体"/>
          <w:color w:val="auto"/>
          <w:highlight w:val="none"/>
          <w:u w:val="single"/>
        </w:rPr>
        <w:t>   </w:t>
      </w:r>
      <w:r>
        <w:rPr>
          <w:rFonts w:hint="eastAsia" w:ascii="宋体" w:hAnsi="宋体" w:cs="宋体"/>
          <w:color w:val="auto"/>
          <w:highlight w:val="none"/>
        </w:rPr>
        <w:t>月 </w:t>
      </w:r>
      <w:r>
        <w:rPr>
          <w:rFonts w:hint="eastAsia" w:ascii="宋体" w:hAnsi="宋体" w:cs="宋体"/>
          <w:color w:val="auto"/>
          <w:highlight w:val="none"/>
          <w:u w:val="single"/>
        </w:rPr>
        <w:t>   </w:t>
      </w:r>
      <w:r>
        <w:rPr>
          <w:rFonts w:hint="eastAsia" w:ascii="宋体" w:hAnsi="宋体" w:cs="宋体"/>
          <w:color w:val="auto"/>
          <w:highlight w:val="none"/>
        </w:rPr>
        <w:t>日</w:t>
      </w:r>
    </w:p>
    <w:p>
      <w:pPr>
        <w:pStyle w:val="11"/>
        <w:widowControl/>
        <w:spacing w:before="75" w:beforeAutospacing="0" w:after="75" w:afterAutospacing="0" w:line="435" w:lineRule="atLeast"/>
        <w:rPr>
          <w:rFonts w:hint="eastAsia" w:ascii="宋体" w:hAnsi="宋体" w:cs="宋体"/>
          <w:color w:val="auto"/>
          <w:highlight w:val="none"/>
        </w:rPr>
      </w:pPr>
      <w:r>
        <w:rPr>
          <w:rFonts w:hint="eastAsia" w:ascii="宋体" w:hAnsi="宋体" w:cs="宋体"/>
          <w:color w:val="auto"/>
          <w:highlight w:val="none"/>
        </w:rPr>
        <w:t> </w:t>
      </w:r>
    </w:p>
    <w:p>
      <w:pPr>
        <w:pStyle w:val="11"/>
        <w:widowControl/>
        <w:spacing w:before="75" w:beforeAutospacing="0" w:after="75" w:afterAutospacing="0" w:line="435" w:lineRule="atLeast"/>
        <w:jc w:val="center"/>
        <w:rPr>
          <w:color w:val="auto"/>
          <w:highlight w:val="none"/>
        </w:rPr>
      </w:pPr>
      <w:r>
        <w:rPr>
          <w:rFonts w:hint="eastAsia" w:ascii="宋体" w:hAnsi="宋体" w:cs="宋体"/>
          <w:color w:val="auto"/>
          <w:highlight w:val="none"/>
        </w:rPr>
        <w:br w:type="page"/>
      </w:r>
      <w:r>
        <w:rPr>
          <w:rStyle w:val="15"/>
          <w:rFonts w:hint="eastAsia" w:ascii="宋体" w:hAnsi="宋体" w:cs="宋体"/>
          <w:color w:val="auto"/>
          <w:highlight w:val="none"/>
        </w:rPr>
        <w:t>财务状况报告</w:t>
      </w:r>
    </w:p>
    <w:p>
      <w:pPr>
        <w:pStyle w:val="11"/>
        <w:widowControl/>
        <w:spacing w:before="75" w:beforeAutospacing="0" w:after="75" w:afterAutospacing="0" w:line="435" w:lineRule="atLeast"/>
        <w:jc w:val="both"/>
        <w:rPr>
          <w:rFonts w:hint="eastAsia" w:ascii="宋体" w:hAnsi="宋体" w:cs="宋体"/>
          <w:color w:val="auto"/>
          <w:highlight w:val="none"/>
        </w:rPr>
      </w:pPr>
    </w:p>
    <w:p>
      <w:pPr>
        <w:pStyle w:val="11"/>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致：</w:t>
      </w:r>
      <w:r>
        <w:rPr>
          <w:rFonts w:hint="eastAsia" w:ascii="宋体" w:hAnsi="宋体" w:cs="宋体"/>
          <w:color w:val="auto"/>
          <w:highlight w:val="none"/>
          <w:u w:val="single"/>
        </w:rPr>
        <w:t>     (招标人或招标代理机构</w:t>
      </w:r>
      <w:r>
        <w:rPr>
          <w:rFonts w:cs="Calibri"/>
          <w:color w:val="auto"/>
          <w:highlight w:val="none"/>
          <w:u w:val="single"/>
        </w:rPr>
        <w:t>)      </w:t>
      </w:r>
      <w:r>
        <w:rPr>
          <w:rFonts w:hint="eastAsia" w:ascii="宋体" w:hAnsi="宋体" w:cs="宋体"/>
          <w:color w:val="auto"/>
          <w:highlight w:val="none"/>
          <w:u w:val="single"/>
        </w:rPr>
        <w:t>   </w:t>
      </w:r>
    </w:p>
    <w:p>
      <w:pPr>
        <w:pStyle w:val="11"/>
        <w:widowControl/>
        <w:spacing w:before="75" w:beforeAutospacing="0" w:after="75" w:afterAutospacing="0" w:line="435" w:lineRule="atLeast"/>
        <w:ind w:firstLine="480"/>
        <w:jc w:val="both"/>
        <w:rPr>
          <w:color w:val="auto"/>
          <w:highlight w:val="none"/>
        </w:rPr>
      </w:pPr>
      <w:r>
        <w:rPr>
          <w:rFonts w:hint="eastAsia" w:ascii="宋体" w:hAnsi="宋体" w:cs="宋体"/>
          <w:color w:val="auto"/>
          <w:highlight w:val="none"/>
        </w:rPr>
        <w:t>（ ）供应商提供财务报告的</w:t>
      </w:r>
    </w:p>
    <w:p>
      <w:pPr>
        <w:pStyle w:val="11"/>
        <w:widowControl/>
        <w:spacing w:before="75" w:beforeAutospacing="0" w:after="75" w:afterAutospacing="0" w:line="435" w:lineRule="atLeast"/>
        <w:ind w:firstLine="480"/>
        <w:jc w:val="both"/>
        <w:rPr>
          <w:color w:val="auto"/>
          <w:highlight w:val="none"/>
        </w:rPr>
      </w:pPr>
      <w:r>
        <w:rPr>
          <w:rFonts w:hint="eastAsia" w:ascii="宋体" w:hAnsi="宋体" w:cs="宋体"/>
          <w:color w:val="auto"/>
          <w:highlight w:val="none"/>
        </w:rPr>
        <w:t>□企业适用：现附上我方</w:t>
      </w:r>
      <w:r>
        <w:rPr>
          <w:rFonts w:hint="eastAsia" w:ascii="宋体" w:hAnsi="宋体" w:cs="宋体"/>
          <w:color w:val="auto"/>
          <w:highlight w:val="none"/>
          <w:u w:val="single"/>
        </w:rPr>
        <w:t>（填写“具体的年度、或半年度、或季度”）</w:t>
      </w:r>
      <w:r>
        <w:rPr>
          <w:rFonts w:hint="eastAsia" w:ascii="宋体" w:hAnsi="宋体" w:cs="宋体"/>
          <w:color w:val="auto"/>
          <w:highlight w:val="none"/>
        </w:rPr>
        <w:t>财务报告复印件，包括资产负债表、利润表、现金流量表、所有者权益变动表及其附注（若有），上述证明材料真实有效，否则我方负全部责任。</w:t>
      </w:r>
    </w:p>
    <w:p>
      <w:pPr>
        <w:pStyle w:val="11"/>
        <w:widowControl/>
        <w:spacing w:before="75" w:beforeAutospacing="0" w:after="75" w:afterAutospacing="0" w:line="435" w:lineRule="atLeast"/>
        <w:ind w:firstLine="480"/>
        <w:jc w:val="both"/>
        <w:rPr>
          <w:color w:val="auto"/>
          <w:highlight w:val="none"/>
        </w:rPr>
      </w:pPr>
      <w:r>
        <w:rPr>
          <w:rFonts w:hint="eastAsia" w:ascii="宋体" w:hAnsi="宋体" w:cs="宋体"/>
          <w:color w:val="auto"/>
          <w:highlight w:val="none"/>
        </w:rPr>
        <w:t>□事业单位适用：现附上我方</w:t>
      </w:r>
      <w:r>
        <w:rPr>
          <w:rFonts w:hint="eastAsia" w:ascii="宋体" w:hAnsi="宋体" w:cs="宋体"/>
          <w:color w:val="auto"/>
          <w:highlight w:val="none"/>
          <w:u w:val="single"/>
        </w:rPr>
        <w:t>（填写“具体的年度、或半年度、或季度”）</w:t>
      </w:r>
      <w:r>
        <w:rPr>
          <w:rFonts w:hint="eastAsia" w:ascii="宋体" w:hAnsi="宋体" w:cs="宋体"/>
          <w:color w:val="auto"/>
          <w:highlight w:val="none"/>
        </w:rPr>
        <w:t>财务报告复印件，包括资产负债表、收入支出表或收入费用表、财政补助收入支出表（若有），上述证明材料真实有效，否则我方负全部责任。</w:t>
      </w:r>
    </w:p>
    <w:p>
      <w:pPr>
        <w:pStyle w:val="11"/>
        <w:widowControl/>
        <w:spacing w:before="75" w:beforeAutospacing="0" w:after="75" w:afterAutospacing="0" w:line="435" w:lineRule="atLeast"/>
        <w:ind w:firstLine="480"/>
        <w:jc w:val="both"/>
        <w:rPr>
          <w:color w:val="auto"/>
          <w:highlight w:val="none"/>
        </w:rPr>
      </w:pPr>
      <w:r>
        <w:rPr>
          <w:rFonts w:hint="eastAsia" w:ascii="宋体" w:hAnsi="宋体" w:cs="宋体"/>
          <w:color w:val="auto"/>
          <w:highlight w:val="none"/>
        </w:rPr>
        <w:t>□社会团体适用：现附上我方</w:t>
      </w:r>
      <w:r>
        <w:rPr>
          <w:rFonts w:hint="eastAsia" w:ascii="宋体" w:hAnsi="宋体" w:cs="宋体"/>
          <w:color w:val="auto"/>
          <w:highlight w:val="none"/>
          <w:u w:val="single"/>
        </w:rPr>
        <w:t>（填写“具体的年度、或半年度、或季度”）</w:t>
      </w:r>
      <w:r>
        <w:rPr>
          <w:rFonts w:hint="eastAsia" w:ascii="宋体" w:hAnsi="宋体" w:cs="宋体"/>
          <w:color w:val="auto"/>
          <w:highlight w:val="none"/>
        </w:rPr>
        <w:t>财务报告复印件，包括资产负债表、业务活动表、现金流量表，上述证明材料真实有效，否则我方负全部责任。</w:t>
      </w:r>
    </w:p>
    <w:p>
      <w:pPr>
        <w:pStyle w:val="11"/>
        <w:widowControl/>
        <w:spacing w:before="75" w:beforeAutospacing="0" w:after="75" w:afterAutospacing="0" w:line="435" w:lineRule="atLeast"/>
        <w:ind w:firstLine="480"/>
        <w:jc w:val="both"/>
        <w:rPr>
          <w:color w:val="auto"/>
          <w:highlight w:val="none"/>
        </w:rPr>
      </w:pPr>
      <w:r>
        <w:rPr>
          <w:rFonts w:hint="eastAsia" w:ascii="宋体" w:hAnsi="宋体" w:cs="宋体"/>
          <w:color w:val="auto"/>
          <w:highlight w:val="none"/>
        </w:rPr>
        <w:t>（ ）供应商提供资信证明的</w:t>
      </w:r>
    </w:p>
    <w:p>
      <w:pPr>
        <w:pStyle w:val="11"/>
        <w:widowControl/>
        <w:spacing w:before="75" w:beforeAutospacing="0" w:after="75" w:afterAutospacing="0" w:line="435" w:lineRule="atLeast"/>
        <w:ind w:firstLine="480"/>
        <w:jc w:val="both"/>
        <w:rPr>
          <w:color w:val="auto"/>
          <w:highlight w:val="none"/>
        </w:rPr>
      </w:pPr>
      <w:r>
        <w:rPr>
          <w:rFonts w:hint="eastAsia" w:ascii="宋体" w:hAnsi="宋体" w:cs="宋体"/>
          <w:color w:val="auto"/>
          <w:highlight w:val="none"/>
        </w:rPr>
        <w:t>□非自然人适用：现附上我方开户（基本户）许可证复印件及我方银行：</w:t>
      </w:r>
      <w:r>
        <w:rPr>
          <w:rFonts w:hint="eastAsia" w:ascii="宋体" w:hAnsi="宋体" w:cs="宋体"/>
          <w:color w:val="auto"/>
          <w:highlight w:val="none"/>
          <w:u w:val="single"/>
        </w:rPr>
        <w:t>（填写“基本户的开户银行全称”）</w:t>
      </w:r>
      <w:r>
        <w:rPr>
          <w:rFonts w:hint="eastAsia" w:ascii="宋体" w:hAnsi="宋体" w:cs="宋体"/>
          <w:color w:val="auto"/>
          <w:highlight w:val="none"/>
        </w:rPr>
        <w:t>出具的资信证明复印件，上述证明材料真实有效，否则我方负全部责任。</w:t>
      </w:r>
    </w:p>
    <w:p>
      <w:pPr>
        <w:pStyle w:val="11"/>
        <w:widowControl/>
        <w:spacing w:before="75" w:beforeAutospacing="0" w:after="75" w:afterAutospacing="0" w:line="435" w:lineRule="atLeast"/>
        <w:ind w:firstLine="480"/>
        <w:jc w:val="both"/>
        <w:rPr>
          <w:color w:val="auto"/>
          <w:highlight w:val="none"/>
        </w:rPr>
      </w:pPr>
      <w:r>
        <w:rPr>
          <w:rFonts w:hint="eastAsia" w:ascii="宋体" w:hAnsi="宋体" w:cs="宋体"/>
          <w:color w:val="auto"/>
          <w:highlight w:val="none"/>
        </w:rPr>
        <w:t>□自然人适用：现附上我方银行：</w:t>
      </w:r>
      <w:r>
        <w:rPr>
          <w:rFonts w:hint="eastAsia" w:ascii="宋体" w:hAnsi="宋体" w:cs="宋体"/>
          <w:color w:val="auto"/>
          <w:highlight w:val="none"/>
          <w:u w:val="single"/>
        </w:rPr>
        <w:t>（填写自然人的“个人账户的开户银行全称”）</w:t>
      </w:r>
      <w:r>
        <w:rPr>
          <w:rFonts w:hint="eastAsia" w:ascii="宋体" w:hAnsi="宋体" w:cs="宋体"/>
          <w:color w:val="auto"/>
          <w:highlight w:val="none"/>
        </w:rPr>
        <w:t>出具的资信证明复印件，上述证明材料真实有效，否则我方负全部责任。</w:t>
      </w:r>
    </w:p>
    <w:p>
      <w:pPr>
        <w:pStyle w:val="11"/>
        <w:widowControl/>
        <w:spacing w:before="75" w:beforeAutospacing="0" w:after="75" w:afterAutospacing="0" w:line="435" w:lineRule="atLeast"/>
        <w:ind w:firstLine="480"/>
        <w:jc w:val="both"/>
        <w:rPr>
          <w:color w:val="auto"/>
          <w:highlight w:val="none"/>
        </w:rPr>
      </w:pPr>
      <w:r>
        <w:rPr>
          <w:rFonts w:hint="eastAsia" w:ascii="宋体" w:hAnsi="宋体" w:cs="宋体"/>
          <w:color w:val="auto"/>
          <w:highlight w:val="none"/>
        </w:rPr>
        <w:t>（ ）供应商提供投标担保函的</w:t>
      </w:r>
    </w:p>
    <w:p>
      <w:pPr>
        <w:pStyle w:val="11"/>
        <w:widowControl/>
        <w:spacing w:before="75" w:beforeAutospacing="0" w:after="75" w:afterAutospacing="0" w:line="435" w:lineRule="atLeast"/>
        <w:ind w:firstLine="480"/>
        <w:jc w:val="both"/>
        <w:rPr>
          <w:color w:val="auto"/>
          <w:highlight w:val="none"/>
        </w:rPr>
      </w:pPr>
      <w:r>
        <w:rPr>
          <w:rFonts w:hint="eastAsia" w:ascii="宋体" w:hAnsi="宋体" w:cs="宋体"/>
          <w:color w:val="auto"/>
          <w:highlight w:val="none"/>
        </w:rPr>
        <w:t>现附上由财政部门认可的政府招标专业担保机构：</w:t>
      </w:r>
      <w:r>
        <w:rPr>
          <w:rFonts w:hint="eastAsia" w:ascii="宋体" w:hAnsi="宋体" w:cs="宋体"/>
          <w:color w:val="auto"/>
          <w:highlight w:val="none"/>
          <w:u w:val="single"/>
        </w:rPr>
        <w:t>（填写“担保机构全称”）</w:t>
      </w:r>
      <w:r>
        <w:rPr>
          <w:rFonts w:hint="eastAsia" w:ascii="宋体" w:hAnsi="宋体" w:cs="宋体"/>
          <w:color w:val="auto"/>
          <w:highlight w:val="none"/>
        </w:rPr>
        <w:t>出具的投标担保函复印件，上述证明材料真实有效，否则我方负全部责任。</w:t>
      </w:r>
    </w:p>
    <w:p>
      <w:pPr>
        <w:pStyle w:val="11"/>
        <w:widowControl/>
        <w:spacing w:before="75" w:beforeAutospacing="0" w:after="75" w:afterAutospacing="0"/>
        <w:rPr>
          <w:color w:val="auto"/>
          <w:highlight w:val="none"/>
        </w:rPr>
      </w:pPr>
      <w:r>
        <w:rPr>
          <w:rStyle w:val="15"/>
          <w:rFonts w:hint="eastAsia" w:ascii="宋体" w:hAnsi="宋体" w:cs="宋体"/>
          <w:color w:val="auto"/>
          <w:highlight w:val="none"/>
        </w:rPr>
        <w:t> </w:t>
      </w:r>
    </w:p>
    <w:p>
      <w:pPr>
        <w:pStyle w:val="11"/>
        <w:widowControl/>
        <w:spacing w:before="75" w:beforeAutospacing="0" w:after="75" w:afterAutospacing="0"/>
        <w:rPr>
          <w:color w:val="auto"/>
          <w:highlight w:val="none"/>
        </w:rPr>
      </w:pPr>
      <w:r>
        <w:rPr>
          <w:rFonts w:hint="eastAsia" w:ascii="宋体" w:hAnsi="宋体" w:cs="宋体"/>
          <w:color w:val="auto"/>
          <w:sz w:val="21"/>
          <w:szCs w:val="21"/>
          <w:highlight w:val="none"/>
        </w:rPr>
        <w:t>★注意事项：</w:t>
      </w:r>
    </w:p>
    <w:p>
      <w:pPr>
        <w:pStyle w:val="11"/>
        <w:widowControl/>
        <w:spacing w:before="75" w:beforeAutospacing="0" w:after="75" w:afterAutospacing="0"/>
        <w:ind w:firstLine="420"/>
        <w:rPr>
          <w:color w:val="auto"/>
          <w:highlight w:val="none"/>
        </w:rPr>
      </w:pPr>
      <w:r>
        <w:rPr>
          <w:rFonts w:hint="eastAsia" w:ascii="宋体" w:hAnsi="宋体" w:cs="宋体"/>
          <w:color w:val="auto"/>
          <w:highlight w:val="none"/>
        </w:rPr>
        <w:t>1、上文提供财务报告、资信证明、担保函共三大类型，请供应商按照自身实际情况编制填写，在其中相应的（）中打“√”并选择相应的“□”（若有）后，再按照本格式的要求提供相应证明材料的复印件即可。即供应商符合上述三大类型其中一种，并按要求提供相应证明资料即为满足。</w:t>
      </w:r>
    </w:p>
    <w:p>
      <w:pPr>
        <w:pStyle w:val="11"/>
        <w:widowControl/>
        <w:spacing w:before="75" w:beforeAutospacing="0" w:after="75" w:afterAutospacing="0"/>
        <w:ind w:firstLine="420"/>
        <w:rPr>
          <w:color w:val="auto"/>
          <w:highlight w:val="none"/>
        </w:rPr>
      </w:pPr>
      <w:r>
        <w:rPr>
          <w:rFonts w:hint="eastAsia" w:ascii="宋体" w:hAnsi="宋体" w:cs="宋体"/>
          <w:color w:val="auto"/>
          <w:highlight w:val="none"/>
        </w:rPr>
        <w:t>2、供应商提供的财务报告复印件（成立年限按照首次响应文件递交截止时间推算）应符合下列规定：</w:t>
      </w:r>
    </w:p>
    <w:p>
      <w:pPr>
        <w:pStyle w:val="11"/>
        <w:widowControl/>
        <w:spacing w:before="75" w:beforeAutospacing="0" w:after="75" w:afterAutospacing="0"/>
        <w:ind w:firstLine="420"/>
        <w:rPr>
          <w:color w:val="auto"/>
          <w:highlight w:val="none"/>
        </w:rPr>
      </w:pPr>
      <w:r>
        <w:rPr>
          <w:rFonts w:hint="eastAsia" w:ascii="宋体" w:hAnsi="宋体" w:cs="宋体"/>
          <w:color w:val="auto"/>
          <w:highlight w:val="none"/>
        </w:rPr>
        <w:t>2.1成立年限满1年及以上的供应商，提供经审计的2022年度或2023年度的财务报告。</w:t>
      </w:r>
    </w:p>
    <w:p>
      <w:pPr>
        <w:pStyle w:val="11"/>
        <w:widowControl/>
        <w:spacing w:before="75" w:beforeAutospacing="0" w:after="75" w:afterAutospacing="0"/>
        <w:ind w:firstLine="420"/>
        <w:rPr>
          <w:color w:val="auto"/>
          <w:highlight w:val="none"/>
        </w:rPr>
      </w:pPr>
      <w:r>
        <w:rPr>
          <w:rFonts w:hint="eastAsia" w:ascii="宋体" w:hAnsi="宋体" w:cs="宋体"/>
          <w:color w:val="auto"/>
          <w:highlight w:val="none"/>
        </w:rPr>
        <w:t>2.2成立年限满半年但不足1年的供应商，提供该半年度中任一季度的季度财务报告或该半年度的半年度财务报告。</w:t>
      </w:r>
    </w:p>
    <w:p>
      <w:pPr>
        <w:pStyle w:val="11"/>
        <w:widowControl/>
        <w:spacing w:before="75" w:beforeAutospacing="0" w:after="75" w:afterAutospacing="0"/>
        <w:ind w:firstLine="420"/>
        <w:rPr>
          <w:color w:val="auto"/>
          <w:highlight w:val="none"/>
        </w:rPr>
      </w:pPr>
      <w:r>
        <w:rPr>
          <w:rStyle w:val="15"/>
          <w:rFonts w:hint="eastAsia" w:ascii="宋体" w:hAnsi="宋体" w:cs="宋体"/>
          <w:color w:val="auto"/>
          <w:highlight w:val="none"/>
        </w:rPr>
        <w:t>※无法按照本格式注意事项第2.1、2.2条规定提供财务报告复印件的供应商，应按照本格式注意事项的要求选择提供资信证明复印件或投标担保函复印件，其中：非自然人的供应商选择提供资信证明的，还应附上其开户（基本户）许可证复印件。</w:t>
      </w:r>
    </w:p>
    <w:p>
      <w:pPr>
        <w:pStyle w:val="11"/>
        <w:widowControl/>
        <w:spacing w:before="75" w:beforeAutospacing="0" w:after="75" w:afterAutospacing="0"/>
        <w:ind w:firstLine="420"/>
        <w:rPr>
          <w:color w:val="auto"/>
          <w:highlight w:val="none"/>
        </w:rPr>
      </w:pPr>
      <w:r>
        <w:rPr>
          <w:rFonts w:hint="eastAsia" w:ascii="宋体" w:hAnsi="宋体" w:cs="宋体"/>
          <w:color w:val="auto"/>
          <w:highlight w:val="none"/>
        </w:rPr>
        <w:t>3、“财政部门认可的政府招标专业担保机构”应符合《财政部关于开展政府招标信用担保试点工作方案》（财库[2011]124号）的规定。</w:t>
      </w:r>
    </w:p>
    <w:p>
      <w:pPr>
        <w:pStyle w:val="11"/>
        <w:widowControl/>
        <w:spacing w:before="75" w:beforeAutospacing="0" w:after="75" w:afterAutospacing="0"/>
        <w:ind w:firstLine="420"/>
        <w:rPr>
          <w:color w:val="auto"/>
          <w:highlight w:val="none"/>
        </w:rPr>
      </w:pPr>
      <w:r>
        <w:rPr>
          <w:rFonts w:hint="eastAsia" w:ascii="宋体" w:hAnsi="宋体" w:cs="宋体"/>
          <w:color w:val="auto"/>
          <w:highlight w:val="none"/>
        </w:rPr>
        <w:t>4、供应商提供的相应证明材料复印件均应符合：内容完整、清晰、整洁，并由供应商加盖其单位公章。</w:t>
      </w:r>
    </w:p>
    <w:p>
      <w:pPr>
        <w:pStyle w:val="11"/>
        <w:widowControl/>
        <w:spacing w:before="75" w:beforeAutospacing="0" w:after="75" w:afterAutospacing="0" w:line="315" w:lineRule="atLeast"/>
        <w:ind w:firstLine="420"/>
        <w:rPr>
          <w:color w:val="auto"/>
          <w:highlight w:val="none"/>
        </w:rPr>
      </w:pPr>
      <w:r>
        <w:rPr>
          <w:rFonts w:hint="eastAsia" w:ascii="宋体" w:hAnsi="宋体" w:cs="宋体"/>
          <w:color w:val="auto"/>
          <w:highlight w:val="none"/>
        </w:rPr>
        <w:t>5、对于接受联合体形式的磋商且供应商是联合体的，则联合体各成员都应当提交本资格证明文件。</w:t>
      </w:r>
    </w:p>
    <w:p>
      <w:pPr>
        <w:pStyle w:val="11"/>
        <w:widowControl/>
        <w:spacing w:before="75" w:beforeAutospacing="0" w:after="75" w:afterAutospacing="0" w:line="435" w:lineRule="atLeast"/>
        <w:rPr>
          <w:color w:val="auto"/>
          <w:highlight w:val="none"/>
        </w:rPr>
      </w:pPr>
    </w:p>
    <w:p>
      <w:pPr>
        <w:pStyle w:val="11"/>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供应商代表：</w:t>
      </w:r>
      <w:r>
        <w:rPr>
          <w:rFonts w:hint="eastAsia" w:ascii="宋体" w:hAnsi="宋体" w:cs="宋体"/>
          <w:color w:val="auto"/>
          <w:highlight w:val="none"/>
          <w:u w:val="single"/>
        </w:rPr>
        <w:t>             （签字） </w:t>
      </w:r>
    </w:p>
    <w:p>
      <w:pPr>
        <w:pStyle w:val="11"/>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供应商名称：</w:t>
      </w:r>
      <w:r>
        <w:rPr>
          <w:rFonts w:hint="eastAsia" w:ascii="宋体" w:hAnsi="宋体" w:cs="宋体"/>
          <w:color w:val="auto"/>
          <w:highlight w:val="none"/>
          <w:u w:val="single"/>
        </w:rPr>
        <w:t>         （全称并加盖公章）              </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日  期： </w:t>
      </w:r>
      <w:r>
        <w:rPr>
          <w:rFonts w:hint="eastAsia" w:ascii="宋体" w:hAnsi="宋体" w:cs="宋体"/>
          <w:color w:val="auto"/>
          <w:highlight w:val="none"/>
          <w:u w:val="single"/>
        </w:rPr>
        <w:t>    </w:t>
      </w:r>
      <w:r>
        <w:rPr>
          <w:rFonts w:hint="eastAsia" w:ascii="宋体" w:hAnsi="宋体" w:cs="宋体"/>
          <w:color w:val="auto"/>
          <w:highlight w:val="none"/>
        </w:rPr>
        <w:t>年 </w:t>
      </w:r>
      <w:r>
        <w:rPr>
          <w:rFonts w:hint="eastAsia" w:ascii="宋体" w:hAnsi="宋体" w:cs="宋体"/>
          <w:color w:val="auto"/>
          <w:highlight w:val="none"/>
          <w:u w:val="single"/>
        </w:rPr>
        <w:t>   </w:t>
      </w:r>
      <w:r>
        <w:rPr>
          <w:rFonts w:hint="eastAsia" w:ascii="宋体" w:hAnsi="宋体" w:cs="宋体"/>
          <w:color w:val="auto"/>
          <w:highlight w:val="none"/>
        </w:rPr>
        <w:t>月 </w:t>
      </w:r>
      <w:r>
        <w:rPr>
          <w:rFonts w:hint="eastAsia" w:ascii="宋体" w:hAnsi="宋体" w:cs="宋体"/>
          <w:color w:val="auto"/>
          <w:highlight w:val="none"/>
          <w:u w:val="single"/>
        </w:rPr>
        <w:t>   </w:t>
      </w:r>
      <w:r>
        <w:rPr>
          <w:rFonts w:hint="eastAsia" w:ascii="宋体" w:hAnsi="宋体" w:cs="宋体"/>
          <w:color w:val="auto"/>
          <w:highlight w:val="none"/>
        </w:rPr>
        <w:t>日</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w:t>
      </w:r>
    </w:p>
    <w:p>
      <w:pPr>
        <w:pStyle w:val="11"/>
        <w:widowControl/>
        <w:spacing w:before="75" w:beforeAutospacing="0" w:after="75" w:afterAutospacing="0" w:line="435" w:lineRule="atLeast"/>
        <w:rPr>
          <w:color w:val="auto"/>
          <w:highlight w:val="none"/>
        </w:rPr>
      </w:pPr>
      <w:r>
        <w:rPr>
          <w:color w:val="auto"/>
          <w:highlight w:val="none"/>
        </w:rPr>
        <w:t> </w:t>
      </w:r>
    </w:p>
    <w:p>
      <w:pPr>
        <w:pStyle w:val="11"/>
        <w:widowControl/>
        <w:spacing w:before="75" w:beforeAutospacing="0" w:after="75" w:afterAutospacing="0" w:line="435" w:lineRule="atLeast"/>
        <w:rPr>
          <w:color w:val="auto"/>
          <w:highlight w:val="none"/>
        </w:rPr>
      </w:pPr>
    </w:p>
    <w:p>
      <w:pPr>
        <w:pStyle w:val="11"/>
        <w:widowControl/>
        <w:spacing w:before="75" w:beforeAutospacing="0" w:after="75" w:afterAutospacing="0" w:line="435" w:lineRule="atLeast"/>
        <w:jc w:val="center"/>
        <w:rPr>
          <w:color w:val="auto"/>
          <w:highlight w:val="none"/>
        </w:rPr>
      </w:pPr>
      <w:r>
        <w:rPr>
          <w:rStyle w:val="15"/>
          <w:rFonts w:hint="eastAsia" w:ascii="宋体" w:hAnsi="宋体" w:cs="宋体"/>
          <w:color w:val="auto"/>
          <w:highlight w:val="none"/>
        </w:rPr>
        <w:t>依法缴纳税收证明材料</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w:t>
      </w:r>
    </w:p>
    <w:p>
      <w:pPr>
        <w:pStyle w:val="11"/>
        <w:widowControl/>
        <w:spacing w:before="75" w:beforeAutospacing="0" w:after="75" w:afterAutospacing="0"/>
        <w:rPr>
          <w:color w:val="auto"/>
          <w:highlight w:val="none"/>
        </w:rPr>
      </w:pPr>
      <w:r>
        <w:rPr>
          <w:rFonts w:hint="eastAsia" w:ascii="宋体" w:hAnsi="宋体" w:cs="宋体"/>
          <w:color w:val="auto"/>
          <w:highlight w:val="none"/>
        </w:rPr>
        <w:t>致：</w:t>
      </w:r>
      <w:r>
        <w:rPr>
          <w:rFonts w:hint="eastAsia" w:ascii="宋体" w:hAnsi="宋体" w:cs="宋体"/>
          <w:color w:val="auto"/>
          <w:highlight w:val="none"/>
          <w:u w:val="single"/>
        </w:rPr>
        <w:t>     (招标人或招标代理机构</w:t>
      </w:r>
      <w:r>
        <w:rPr>
          <w:rFonts w:cs="Calibri"/>
          <w:color w:val="auto"/>
          <w:highlight w:val="none"/>
          <w:u w:val="single"/>
        </w:rPr>
        <w:t>)   </w:t>
      </w:r>
      <w:r>
        <w:rPr>
          <w:rFonts w:hint="eastAsia" w:ascii="宋体" w:hAnsi="宋体" w:cs="宋体"/>
          <w:color w:val="auto"/>
          <w:sz w:val="21"/>
          <w:szCs w:val="21"/>
          <w:highlight w:val="none"/>
          <w:u w:val="single"/>
        </w:rPr>
        <w:t>   </w:t>
      </w:r>
    </w:p>
    <w:p>
      <w:pPr>
        <w:pStyle w:val="11"/>
        <w:widowControl/>
        <w:numPr>
          <w:ilvl w:val="0"/>
          <w:numId w:val="3"/>
        </w:numPr>
        <w:spacing w:before="75" w:beforeAutospacing="0" w:after="75" w:afterAutospacing="0"/>
        <w:ind w:firstLine="420"/>
        <w:rPr>
          <w:rStyle w:val="15"/>
          <w:rFonts w:hint="eastAsia" w:ascii="宋体" w:hAnsi="宋体" w:cs="宋体"/>
          <w:color w:val="auto"/>
          <w:highlight w:val="none"/>
        </w:rPr>
      </w:pPr>
      <w:r>
        <w:rPr>
          <w:rStyle w:val="15"/>
          <w:rFonts w:hint="eastAsia" w:ascii="宋体" w:hAnsi="宋体" w:cs="宋体"/>
          <w:color w:val="auto"/>
          <w:highlight w:val="none"/>
        </w:rPr>
        <w:t>依法缴纳税收的供应商</w:t>
      </w:r>
    </w:p>
    <w:p>
      <w:pPr>
        <w:pStyle w:val="11"/>
        <w:widowControl/>
        <w:spacing w:before="75" w:beforeAutospacing="0" w:after="75" w:afterAutospacing="0"/>
        <w:ind w:left="420"/>
        <w:rPr>
          <w:color w:val="auto"/>
          <w:highlight w:val="none"/>
        </w:rPr>
      </w:pPr>
      <w:r>
        <w:rPr>
          <w:rFonts w:hint="eastAsia" w:ascii="宋体" w:hAnsi="宋体" w:cs="宋体"/>
          <w:color w:val="auto"/>
          <w:highlight w:val="none"/>
        </w:rPr>
        <w:t>（ ）法人（包括企业、事业单位和社会团体）的</w:t>
      </w:r>
    </w:p>
    <w:p>
      <w:pPr>
        <w:pStyle w:val="11"/>
        <w:widowControl/>
        <w:spacing w:before="75" w:beforeAutospacing="0" w:after="75" w:afterAutospacing="0"/>
        <w:ind w:firstLine="420"/>
        <w:rPr>
          <w:color w:val="auto"/>
          <w:highlight w:val="none"/>
        </w:rPr>
      </w:pPr>
      <w:r>
        <w:rPr>
          <w:rFonts w:hint="eastAsia" w:ascii="宋体" w:hAnsi="宋体" w:cs="宋体"/>
          <w:color w:val="auto"/>
          <w:highlight w:val="none"/>
        </w:rPr>
        <w:t>现附上自</w:t>
      </w:r>
      <w:r>
        <w:rPr>
          <w:rFonts w:hint="eastAsia" w:ascii="宋体" w:hAnsi="宋体" w:cs="宋体"/>
          <w:color w:val="auto"/>
          <w:highlight w:val="none"/>
          <w:u w:val="single"/>
        </w:rPr>
        <w:t>    </w:t>
      </w:r>
      <w:r>
        <w:rPr>
          <w:rFonts w:hint="eastAsia" w:ascii="宋体" w:hAnsi="宋体" w:cs="宋体"/>
          <w:color w:val="auto"/>
          <w:highlight w:val="none"/>
        </w:rPr>
        <w:t>年</w:t>
      </w:r>
      <w:r>
        <w:rPr>
          <w:rFonts w:hint="eastAsia" w:ascii="宋体" w:hAnsi="宋体" w:cs="宋体"/>
          <w:color w:val="auto"/>
          <w:highlight w:val="none"/>
          <w:u w:val="single"/>
        </w:rPr>
        <w:t>   </w:t>
      </w:r>
      <w:r>
        <w:rPr>
          <w:rFonts w:hint="eastAsia" w:ascii="宋体" w:hAnsi="宋体" w:cs="宋体"/>
          <w:color w:val="auto"/>
          <w:highlight w:val="none"/>
        </w:rPr>
        <w:t>月</w:t>
      </w:r>
      <w:r>
        <w:rPr>
          <w:rFonts w:hint="eastAsia" w:ascii="宋体" w:hAnsi="宋体" w:cs="宋体"/>
          <w:color w:val="auto"/>
          <w:highlight w:val="none"/>
          <w:u w:val="single"/>
        </w:rPr>
        <w:t>   </w:t>
      </w:r>
      <w:r>
        <w:rPr>
          <w:rFonts w:hint="eastAsia" w:ascii="宋体" w:hAnsi="宋体" w:cs="宋体"/>
          <w:color w:val="auto"/>
          <w:highlight w:val="none"/>
        </w:rPr>
        <w:t>日至</w:t>
      </w:r>
      <w:r>
        <w:rPr>
          <w:rFonts w:hint="eastAsia" w:ascii="宋体" w:hAnsi="宋体" w:cs="宋体"/>
          <w:color w:val="auto"/>
          <w:highlight w:val="none"/>
          <w:u w:val="single"/>
        </w:rPr>
        <w:t>    </w:t>
      </w:r>
      <w:r>
        <w:rPr>
          <w:rFonts w:hint="eastAsia" w:ascii="宋体" w:hAnsi="宋体" w:cs="宋体"/>
          <w:color w:val="auto"/>
          <w:highlight w:val="none"/>
        </w:rPr>
        <w:t>年</w:t>
      </w:r>
      <w:r>
        <w:rPr>
          <w:rFonts w:hint="eastAsia" w:ascii="宋体" w:hAnsi="宋体" w:cs="宋体"/>
          <w:color w:val="auto"/>
          <w:highlight w:val="none"/>
          <w:u w:val="single"/>
        </w:rPr>
        <w:t>   </w:t>
      </w:r>
      <w:r>
        <w:rPr>
          <w:rFonts w:hint="eastAsia" w:ascii="宋体" w:hAnsi="宋体" w:cs="宋体"/>
          <w:color w:val="auto"/>
          <w:highlight w:val="none"/>
        </w:rPr>
        <w:t>月</w:t>
      </w:r>
      <w:r>
        <w:rPr>
          <w:rFonts w:hint="eastAsia" w:ascii="宋体" w:hAnsi="宋体" w:cs="宋体"/>
          <w:color w:val="auto"/>
          <w:highlight w:val="none"/>
          <w:u w:val="single"/>
        </w:rPr>
        <w:t>   </w:t>
      </w:r>
      <w:r>
        <w:rPr>
          <w:rFonts w:hint="eastAsia" w:ascii="宋体" w:hAnsi="宋体" w:cs="宋体"/>
          <w:color w:val="auto"/>
          <w:highlight w:val="none"/>
        </w:rPr>
        <w:t>日期间我方缴纳的</w:t>
      </w:r>
      <w:r>
        <w:rPr>
          <w:rFonts w:hint="eastAsia" w:ascii="宋体" w:hAnsi="宋体" w:cs="宋体"/>
          <w:color w:val="auto"/>
          <w:highlight w:val="none"/>
          <w:u w:val="single"/>
        </w:rPr>
        <w:t>（按照供应商实际缴纳的税种名称填写，如：增值税、所得税等）</w:t>
      </w:r>
      <w:r>
        <w:rPr>
          <w:rFonts w:hint="eastAsia" w:ascii="宋体" w:hAnsi="宋体" w:cs="宋体"/>
          <w:color w:val="auto"/>
          <w:highlight w:val="none"/>
        </w:rPr>
        <w:t>税收凭据复印件，上述证明材料真实有效，否则我方负全部责任。</w:t>
      </w:r>
    </w:p>
    <w:p>
      <w:pPr>
        <w:pStyle w:val="11"/>
        <w:widowControl/>
        <w:spacing w:before="75" w:beforeAutospacing="0" w:after="75" w:afterAutospacing="0"/>
        <w:ind w:firstLine="420"/>
        <w:rPr>
          <w:color w:val="auto"/>
          <w:highlight w:val="none"/>
        </w:rPr>
      </w:pPr>
      <w:r>
        <w:rPr>
          <w:rFonts w:hint="eastAsia" w:ascii="宋体" w:hAnsi="宋体" w:cs="宋体"/>
          <w:color w:val="auto"/>
          <w:highlight w:val="none"/>
        </w:rPr>
        <w:t>（ ）非法人（包括其他组织、自然人）的</w:t>
      </w:r>
    </w:p>
    <w:p>
      <w:pPr>
        <w:pStyle w:val="11"/>
        <w:widowControl/>
        <w:spacing w:before="75" w:beforeAutospacing="0" w:after="75" w:afterAutospacing="0"/>
        <w:ind w:firstLine="420"/>
        <w:rPr>
          <w:color w:val="auto"/>
          <w:highlight w:val="none"/>
        </w:rPr>
      </w:pPr>
      <w:r>
        <w:rPr>
          <w:rFonts w:hint="eastAsia" w:ascii="宋体" w:hAnsi="宋体" w:cs="宋体"/>
          <w:color w:val="auto"/>
          <w:highlight w:val="none"/>
        </w:rPr>
        <w:t>现附上自</w:t>
      </w:r>
      <w:r>
        <w:rPr>
          <w:rFonts w:hint="eastAsia" w:ascii="宋体" w:hAnsi="宋体" w:cs="宋体"/>
          <w:color w:val="auto"/>
          <w:highlight w:val="none"/>
          <w:u w:val="single"/>
        </w:rPr>
        <w:t>    </w:t>
      </w:r>
      <w:r>
        <w:rPr>
          <w:rFonts w:hint="eastAsia" w:ascii="宋体" w:hAnsi="宋体" w:cs="宋体"/>
          <w:color w:val="auto"/>
          <w:highlight w:val="none"/>
        </w:rPr>
        <w:t>年</w:t>
      </w:r>
      <w:r>
        <w:rPr>
          <w:rFonts w:hint="eastAsia" w:ascii="宋体" w:hAnsi="宋体" w:cs="宋体"/>
          <w:color w:val="auto"/>
          <w:highlight w:val="none"/>
          <w:u w:val="single"/>
        </w:rPr>
        <w:t>   </w:t>
      </w:r>
      <w:r>
        <w:rPr>
          <w:rFonts w:hint="eastAsia" w:ascii="宋体" w:hAnsi="宋体" w:cs="宋体"/>
          <w:color w:val="auto"/>
          <w:highlight w:val="none"/>
        </w:rPr>
        <w:t>月</w:t>
      </w:r>
      <w:r>
        <w:rPr>
          <w:rFonts w:hint="eastAsia" w:ascii="宋体" w:hAnsi="宋体" w:cs="宋体"/>
          <w:color w:val="auto"/>
          <w:highlight w:val="none"/>
          <w:u w:val="single"/>
        </w:rPr>
        <w:t>   </w:t>
      </w:r>
      <w:r>
        <w:rPr>
          <w:rFonts w:hint="eastAsia" w:ascii="宋体" w:hAnsi="宋体" w:cs="宋体"/>
          <w:color w:val="auto"/>
          <w:highlight w:val="none"/>
        </w:rPr>
        <w:t>日至</w:t>
      </w:r>
      <w:r>
        <w:rPr>
          <w:rFonts w:hint="eastAsia" w:ascii="宋体" w:hAnsi="宋体" w:cs="宋体"/>
          <w:color w:val="auto"/>
          <w:highlight w:val="none"/>
          <w:u w:val="single"/>
        </w:rPr>
        <w:t>    </w:t>
      </w:r>
      <w:r>
        <w:rPr>
          <w:rFonts w:hint="eastAsia" w:ascii="宋体" w:hAnsi="宋体" w:cs="宋体"/>
          <w:color w:val="auto"/>
          <w:highlight w:val="none"/>
        </w:rPr>
        <w:t>年</w:t>
      </w:r>
      <w:r>
        <w:rPr>
          <w:rFonts w:hint="eastAsia" w:ascii="宋体" w:hAnsi="宋体" w:cs="宋体"/>
          <w:color w:val="auto"/>
          <w:highlight w:val="none"/>
          <w:u w:val="single"/>
        </w:rPr>
        <w:t>   </w:t>
      </w:r>
      <w:r>
        <w:rPr>
          <w:rFonts w:hint="eastAsia" w:ascii="宋体" w:hAnsi="宋体" w:cs="宋体"/>
          <w:color w:val="auto"/>
          <w:highlight w:val="none"/>
        </w:rPr>
        <w:t>月</w:t>
      </w:r>
      <w:r>
        <w:rPr>
          <w:rFonts w:hint="eastAsia" w:ascii="宋体" w:hAnsi="宋体" w:cs="宋体"/>
          <w:color w:val="auto"/>
          <w:highlight w:val="none"/>
          <w:u w:val="single"/>
        </w:rPr>
        <w:t>   </w:t>
      </w:r>
      <w:r>
        <w:rPr>
          <w:rFonts w:hint="eastAsia" w:ascii="宋体" w:hAnsi="宋体" w:cs="宋体"/>
          <w:color w:val="auto"/>
          <w:highlight w:val="none"/>
        </w:rPr>
        <w:t>日期间我方缴纳的</w:t>
      </w:r>
      <w:r>
        <w:rPr>
          <w:rFonts w:hint="eastAsia" w:ascii="宋体" w:hAnsi="宋体" w:cs="宋体"/>
          <w:color w:val="auto"/>
          <w:highlight w:val="none"/>
          <w:u w:val="single"/>
        </w:rPr>
        <w:t>（按照供应商实际缴纳的税种名称填写）</w:t>
      </w:r>
      <w:r>
        <w:rPr>
          <w:rFonts w:hint="eastAsia" w:ascii="宋体" w:hAnsi="宋体" w:cs="宋体"/>
          <w:color w:val="auto"/>
          <w:highlight w:val="none"/>
        </w:rPr>
        <w:t>税收凭据复印件，上述证明材料真实有效，否则我方负全部责任。</w:t>
      </w:r>
    </w:p>
    <w:p>
      <w:pPr>
        <w:pStyle w:val="11"/>
        <w:widowControl/>
        <w:spacing w:before="75" w:beforeAutospacing="0" w:after="75" w:afterAutospacing="0"/>
        <w:ind w:firstLine="420"/>
        <w:rPr>
          <w:rFonts w:hint="eastAsia"/>
          <w:color w:val="auto"/>
          <w:highlight w:val="none"/>
        </w:rPr>
      </w:pPr>
      <w:r>
        <w:rPr>
          <w:rStyle w:val="15"/>
          <w:rFonts w:hint="eastAsia" w:ascii="宋体" w:hAnsi="宋体" w:cs="宋体"/>
          <w:color w:val="auto"/>
          <w:highlight w:val="none"/>
        </w:rPr>
        <w:t>2、依法免税的供应商</w:t>
      </w:r>
    </w:p>
    <w:p>
      <w:pPr>
        <w:pStyle w:val="11"/>
        <w:widowControl/>
        <w:spacing w:before="75" w:beforeAutospacing="0" w:after="75" w:afterAutospacing="0"/>
        <w:ind w:firstLine="420"/>
        <w:rPr>
          <w:color w:val="auto"/>
          <w:highlight w:val="none"/>
        </w:rPr>
      </w:pPr>
      <w:r>
        <w:rPr>
          <w:rFonts w:hint="eastAsia" w:ascii="宋体" w:hAnsi="宋体" w:cs="宋体"/>
          <w:color w:val="auto"/>
          <w:highlight w:val="none"/>
        </w:rPr>
        <w:t>（ ）现附上我方依法免税证明材料复印件，上述证明材料真实有效，否则我方负全部责任。</w:t>
      </w:r>
    </w:p>
    <w:p>
      <w:pPr>
        <w:pStyle w:val="11"/>
        <w:widowControl/>
        <w:spacing w:before="75" w:beforeAutospacing="0" w:after="75" w:afterAutospacing="0"/>
        <w:rPr>
          <w:color w:val="auto"/>
          <w:highlight w:val="none"/>
        </w:rPr>
      </w:pPr>
      <w:r>
        <w:rPr>
          <w:rFonts w:hint="eastAsia" w:ascii="宋体" w:hAnsi="宋体" w:cs="宋体"/>
          <w:color w:val="auto"/>
          <w:highlight w:val="none"/>
        </w:rPr>
        <w:t> </w:t>
      </w:r>
    </w:p>
    <w:p>
      <w:pPr>
        <w:pStyle w:val="11"/>
        <w:widowControl/>
        <w:spacing w:before="75" w:beforeAutospacing="0" w:after="75" w:afterAutospacing="0"/>
        <w:rPr>
          <w:color w:val="auto"/>
          <w:highlight w:val="none"/>
        </w:rPr>
      </w:pPr>
      <w:r>
        <w:rPr>
          <w:rFonts w:hint="eastAsia" w:ascii="宋体" w:hAnsi="宋体" w:cs="宋体"/>
          <w:color w:val="auto"/>
          <w:highlight w:val="none"/>
        </w:rPr>
        <w:t>★注意：</w:t>
      </w:r>
    </w:p>
    <w:p>
      <w:pPr>
        <w:pStyle w:val="11"/>
        <w:widowControl/>
        <w:spacing w:before="75" w:beforeAutospacing="0" w:after="75" w:afterAutospacing="0"/>
        <w:rPr>
          <w:color w:val="auto"/>
          <w:highlight w:val="none"/>
        </w:rPr>
      </w:pPr>
      <w:r>
        <w:rPr>
          <w:rFonts w:hint="eastAsia" w:ascii="宋体" w:hAnsi="宋体" w:cs="宋体"/>
          <w:color w:val="auto"/>
          <w:highlight w:val="none"/>
        </w:rPr>
        <w:t>1、请供应商根据实际情况填写，在相应的（）中打“√”，并按照本格式的要求提供相应证明材料的复印件。</w:t>
      </w:r>
    </w:p>
    <w:p>
      <w:pPr>
        <w:pStyle w:val="11"/>
        <w:widowControl/>
        <w:spacing w:before="75" w:beforeAutospacing="0" w:after="75" w:afterAutospacing="0"/>
        <w:rPr>
          <w:color w:val="auto"/>
          <w:highlight w:val="none"/>
        </w:rPr>
      </w:pPr>
      <w:r>
        <w:rPr>
          <w:rFonts w:hint="eastAsia" w:ascii="宋体" w:hAnsi="宋体" w:cs="宋体"/>
          <w:color w:val="auto"/>
          <w:highlight w:val="none"/>
        </w:rPr>
        <w:t>2、供应商提供的税收凭据复印件应符合下列规定：</w:t>
      </w:r>
    </w:p>
    <w:p>
      <w:pPr>
        <w:pStyle w:val="11"/>
        <w:widowControl/>
        <w:spacing w:before="75" w:beforeAutospacing="0" w:after="75" w:afterAutospacing="0"/>
        <w:rPr>
          <w:color w:val="auto"/>
          <w:highlight w:val="none"/>
        </w:rPr>
      </w:pPr>
      <w:r>
        <w:rPr>
          <w:rFonts w:hint="eastAsia" w:ascii="宋体" w:hAnsi="宋体" w:cs="宋体"/>
          <w:color w:val="auto"/>
          <w:highlight w:val="none"/>
        </w:rPr>
        <w:t>2.1首次响应文件递交截止时间前（不含截止时间的当月）已依法缴纳税收的供应商，提供首次响应文件递交截止时间前六个月（不含截止时间的当月）中任一月份的税收凭据复印件。</w:t>
      </w:r>
    </w:p>
    <w:p>
      <w:pPr>
        <w:pStyle w:val="11"/>
        <w:widowControl/>
        <w:spacing w:before="75" w:beforeAutospacing="0" w:after="75" w:afterAutospacing="0"/>
        <w:rPr>
          <w:color w:val="auto"/>
          <w:highlight w:val="none"/>
        </w:rPr>
      </w:pPr>
      <w:r>
        <w:rPr>
          <w:rFonts w:hint="eastAsia" w:ascii="宋体" w:hAnsi="宋体" w:cs="宋体"/>
          <w:color w:val="auto"/>
          <w:highlight w:val="none"/>
        </w:rPr>
        <w:t>2.2首次响应文件递交截止时间的当月成立且已依法缴纳税收的供应商，提供截止时间当月的税收凭据复印件。</w:t>
      </w:r>
    </w:p>
    <w:p>
      <w:pPr>
        <w:pStyle w:val="11"/>
        <w:widowControl/>
        <w:spacing w:before="75" w:beforeAutospacing="0" w:after="75" w:afterAutospacing="0"/>
        <w:rPr>
          <w:color w:val="auto"/>
          <w:highlight w:val="none"/>
        </w:rPr>
      </w:pPr>
      <w:r>
        <w:rPr>
          <w:rFonts w:hint="eastAsia" w:ascii="宋体" w:hAnsi="宋体" w:cs="宋体"/>
          <w:color w:val="auto"/>
          <w:highlight w:val="none"/>
        </w:rPr>
        <w:t>2.3首次响应文件递交截止时间的当月成立但因税务机关原因而尚未依法缴纳税收的供应商，提供依法缴纳税收承诺书原件（格式自拟），该承诺书视同税收凭据。</w:t>
      </w:r>
    </w:p>
    <w:p>
      <w:pPr>
        <w:pStyle w:val="11"/>
        <w:widowControl/>
        <w:spacing w:before="75" w:beforeAutospacing="0" w:after="75" w:afterAutospacing="0"/>
        <w:rPr>
          <w:color w:val="auto"/>
          <w:highlight w:val="none"/>
        </w:rPr>
      </w:pPr>
      <w:r>
        <w:rPr>
          <w:rFonts w:hint="eastAsia" w:ascii="宋体" w:hAnsi="宋体" w:cs="宋体"/>
          <w:color w:val="auto"/>
          <w:highlight w:val="none"/>
        </w:rPr>
        <w:t>3、供应商提供的相应证明材料复印件均应符合：内容完整、清晰、整洁，并由供应商加盖其单位公章。</w:t>
      </w:r>
    </w:p>
    <w:p>
      <w:pPr>
        <w:pStyle w:val="11"/>
        <w:widowControl/>
        <w:spacing w:before="75" w:beforeAutospacing="0" w:after="75" w:afterAutospacing="0"/>
        <w:rPr>
          <w:color w:val="auto"/>
          <w:highlight w:val="none"/>
        </w:rPr>
      </w:pPr>
      <w:r>
        <w:rPr>
          <w:rFonts w:hint="eastAsia" w:ascii="宋体" w:hAnsi="宋体" w:cs="宋体"/>
          <w:color w:val="auto"/>
          <w:highlight w:val="none"/>
        </w:rPr>
        <w:t>4、</w:t>
      </w:r>
      <w:r>
        <w:rPr>
          <w:rStyle w:val="15"/>
          <w:rFonts w:hint="eastAsia" w:ascii="宋体" w:hAnsi="宋体" w:cs="宋体"/>
          <w:color w:val="auto"/>
          <w:highlight w:val="none"/>
        </w:rPr>
        <w:t>“依法缴纳税收证明材料”</w:t>
      </w:r>
      <w:r>
        <w:rPr>
          <w:rFonts w:hint="eastAsia" w:ascii="宋体" w:hAnsi="宋体" w:cs="宋体"/>
          <w:color w:val="auto"/>
          <w:highlight w:val="none"/>
        </w:rPr>
        <w:t>有欠缴记录的，视为</w:t>
      </w:r>
      <w:r>
        <w:rPr>
          <w:rStyle w:val="15"/>
          <w:rFonts w:hint="eastAsia" w:ascii="宋体" w:hAnsi="宋体" w:cs="宋体"/>
          <w:color w:val="auto"/>
          <w:highlight w:val="none"/>
        </w:rPr>
        <w:t>未依法缴纳税收</w:t>
      </w:r>
      <w:r>
        <w:rPr>
          <w:rFonts w:hint="eastAsia" w:ascii="宋体" w:hAnsi="宋体" w:cs="宋体"/>
          <w:color w:val="auto"/>
          <w:highlight w:val="none"/>
        </w:rPr>
        <w:t>。</w:t>
      </w:r>
    </w:p>
    <w:p>
      <w:pPr>
        <w:pStyle w:val="11"/>
        <w:widowControl/>
        <w:spacing w:before="75" w:beforeAutospacing="0" w:after="75" w:afterAutospacing="0" w:line="315" w:lineRule="atLeast"/>
        <w:rPr>
          <w:color w:val="auto"/>
          <w:highlight w:val="none"/>
        </w:rPr>
      </w:pPr>
      <w:r>
        <w:rPr>
          <w:rFonts w:hint="eastAsia" w:ascii="宋体" w:hAnsi="宋体" w:cs="宋体"/>
          <w:color w:val="auto"/>
          <w:highlight w:val="none"/>
        </w:rPr>
        <w:t>5、对于接受联合体形式的磋商且供应商是联合体的，则联合体各成员都应当提交本资格证明文件。</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供应商代表：</w:t>
      </w:r>
      <w:r>
        <w:rPr>
          <w:rFonts w:hint="eastAsia" w:ascii="宋体" w:hAnsi="宋体" w:cs="宋体"/>
          <w:color w:val="auto"/>
          <w:highlight w:val="none"/>
          <w:u w:val="single"/>
        </w:rPr>
        <w:t>             （签字） </w:t>
      </w:r>
    </w:p>
    <w:p>
      <w:pPr>
        <w:pStyle w:val="11"/>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供应商名称：</w:t>
      </w:r>
      <w:r>
        <w:rPr>
          <w:rFonts w:hint="eastAsia" w:ascii="宋体" w:hAnsi="宋体" w:cs="宋体"/>
          <w:color w:val="auto"/>
          <w:highlight w:val="none"/>
          <w:u w:val="single"/>
        </w:rPr>
        <w:t>         （全称并加盖公章）              </w:t>
      </w:r>
    </w:p>
    <w:p>
      <w:pPr>
        <w:pStyle w:val="11"/>
        <w:widowControl/>
        <w:spacing w:before="75" w:beforeAutospacing="0" w:after="75" w:afterAutospacing="0"/>
        <w:rPr>
          <w:color w:val="auto"/>
          <w:highlight w:val="none"/>
        </w:rPr>
      </w:pPr>
      <w:r>
        <w:rPr>
          <w:rFonts w:hint="eastAsia" w:ascii="宋体" w:hAnsi="宋体" w:cs="宋体"/>
          <w:color w:val="auto"/>
          <w:highlight w:val="none"/>
        </w:rPr>
        <w:t>日  期： </w:t>
      </w:r>
      <w:r>
        <w:rPr>
          <w:rFonts w:hint="eastAsia" w:ascii="宋体" w:hAnsi="宋体" w:cs="宋体"/>
          <w:color w:val="auto"/>
          <w:highlight w:val="none"/>
          <w:u w:val="single"/>
        </w:rPr>
        <w:t>    </w:t>
      </w:r>
      <w:r>
        <w:rPr>
          <w:rFonts w:hint="eastAsia" w:ascii="宋体" w:hAnsi="宋体" w:cs="宋体"/>
          <w:color w:val="auto"/>
          <w:highlight w:val="none"/>
        </w:rPr>
        <w:t>年 </w:t>
      </w:r>
      <w:r>
        <w:rPr>
          <w:rFonts w:hint="eastAsia" w:ascii="宋体" w:hAnsi="宋体" w:cs="宋体"/>
          <w:color w:val="auto"/>
          <w:highlight w:val="none"/>
          <w:u w:val="single"/>
        </w:rPr>
        <w:t>   </w:t>
      </w:r>
      <w:r>
        <w:rPr>
          <w:rFonts w:hint="eastAsia" w:ascii="宋体" w:hAnsi="宋体" w:cs="宋体"/>
          <w:color w:val="auto"/>
          <w:highlight w:val="none"/>
        </w:rPr>
        <w:t>月 </w:t>
      </w:r>
      <w:r>
        <w:rPr>
          <w:rFonts w:hint="eastAsia" w:ascii="宋体" w:hAnsi="宋体" w:cs="宋体"/>
          <w:color w:val="auto"/>
          <w:highlight w:val="none"/>
          <w:u w:val="single"/>
        </w:rPr>
        <w:t>   </w:t>
      </w:r>
      <w:r>
        <w:rPr>
          <w:rFonts w:hint="eastAsia" w:ascii="宋体" w:hAnsi="宋体" w:cs="宋体"/>
          <w:color w:val="auto"/>
          <w:highlight w:val="none"/>
        </w:rPr>
        <w:t>日</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w:t>
      </w:r>
    </w:p>
    <w:p>
      <w:pPr>
        <w:pStyle w:val="11"/>
        <w:widowControl/>
        <w:spacing w:before="75" w:beforeAutospacing="0" w:after="75" w:afterAutospacing="0" w:line="435" w:lineRule="atLeast"/>
        <w:rPr>
          <w:rFonts w:hint="eastAsia" w:ascii="宋体" w:hAnsi="宋体" w:cs="宋体"/>
          <w:color w:val="auto"/>
          <w:highlight w:val="none"/>
        </w:rPr>
      </w:pPr>
    </w:p>
    <w:p>
      <w:pPr>
        <w:pStyle w:val="11"/>
        <w:widowControl/>
        <w:spacing w:before="75" w:beforeAutospacing="0" w:after="75" w:afterAutospacing="0" w:line="435" w:lineRule="atLeast"/>
        <w:rPr>
          <w:rFonts w:hint="eastAsia" w:ascii="宋体" w:hAnsi="宋体" w:cs="宋体"/>
          <w:color w:val="auto"/>
          <w:highlight w:val="none"/>
        </w:rPr>
      </w:pPr>
    </w:p>
    <w:p>
      <w:pPr>
        <w:pStyle w:val="11"/>
        <w:widowControl/>
        <w:spacing w:before="75" w:beforeAutospacing="0" w:after="75" w:afterAutospacing="0" w:line="435" w:lineRule="atLeast"/>
        <w:jc w:val="center"/>
        <w:rPr>
          <w:color w:val="auto"/>
          <w:highlight w:val="none"/>
        </w:rPr>
      </w:pPr>
      <w:r>
        <w:rPr>
          <w:rStyle w:val="15"/>
          <w:rFonts w:hint="eastAsia" w:ascii="宋体" w:hAnsi="宋体" w:cs="宋体"/>
          <w:color w:val="auto"/>
          <w:highlight w:val="none"/>
        </w:rPr>
        <w:t>依法缴纳社会保障资金证明材料</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致：</w:t>
      </w:r>
      <w:r>
        <w:rPr>
          <w:rFonts w:hint="eastAsia" w:ascii="宋体" w:hAnsi="宋体" w:cs="宋体"/>
          <w:color w:val="auto"/>
          <w:highlight w:val="none"/>
          <w:u w:val="single"/>
        </w:rPr>
        <w:t>     (招标人或招标代理机构)       </w:t>
      </w:r>
    </w:p>
    <w:p>
      <w:pPr>
        <w:pStyle w:val="11"/>
        <w:widowControl/>
        <w:spacing w:before="75" w:beforeAutospacing="0" w:after="75" w:afterAutospacing="0"/>
        <w:ind w:firstLine="480"/>
        <w:rPr>
          <w:rStyle w:val="15"/>
          <w:rFonts w:hint="eastAsia" w:ascii="宋体" w:hAnsi="宋体" w:cs="宋体"/>
          <w:color w:val="auto"/>
          <w:highlight w:val="none"/>
        </w:rPr>
      </w:pPr>
      <w:r>
        <w:rPr>
          <w:rStyle w:val="15"/>
          <w:rFonts w:hint="eastAsia" w:ascii="宋体" w:hAnsi="宋体" w:cs="宋体"/>
          <w:color w:val="auto"/>
          <w:highlight w:val="none"/>
        </w:rPr>
        <w:t>1、依法缴纳社会保障资金的供应商</w:t>
      </w:r>
    </w:p>
    <w:p>
      <w:pPr>
        <w:pStyle w:val="11"/>
        <w:widowControl/>
        <w:spacing w:before="75" w:beforeAutospacing="0" w:after="75" w:afterAutospacing="0"/>
        <w:ind w:firstLine="420"/>
        <w:rPr>
          <w:color w:val="auto"/>
          <w:highlight w:val="none"/>
        </w:rPr>
      </w:pPr>
      <w:r>
        <w:rPr>
          <w:rFonts w:hint="eastAsia" w:ascii="宋体" w:hAnsi="宋体" w:cs="宋体"/>
          <w:color w:val="auto"/>
          <w:highlight w:val="none"/>
        </w:rPr>
        <w:t>（ ）法人（包括企业、事业单位和社会团体）的</w:t>
      </w:r>
    </w:p>
    <w:p>
      <w:pPr>
        <w:pStyle w:val="11"/>
        <w:widowControl/>
        <w:spacing w:before="75" w:beforeAutospacing="0" w:after="75" w:afterAutospacing="0"/>
        <w:ind w:firstLine="420"/>
        <w:rPr>
          <w:color w:val="auto"/>
          <w:highlight w:val="none"/>
        </w:rPr>
      </w:pPr>
      <w:r>
        <w:rPr>
          <w:rFonts w:hint="eastAsia" w:ascii="宋体" w:hAnsi="宋体" w:cs="宋体"/>
          <w:color w:val="auto"/>
          <w:highlight w:val="none"/>
        </w:rPr>
        <w:t>现附上自</w:t>
      </w:r>
      <w:r>
        <w:rPr>
          <w:rFonts w:hint="eastAsia" w:ascii="宋体" w:hAnsi="宋体" w:cs="宋体"/>
          <w:color w:val="auto"/>
          <w:highlight w:val="none"/>
          <w:u w:val="single"/>
        </w:rPr>
        <w:t>    </w:t>
      </w:r>
      <w:r>
        <w:rPr>
          <w:rFonts w:hint="eastAsia" w:ascii="宋体" w:hAnsi="宋体" w:cs="宋体"/>
          <w:color w:val="auto"/>
          <w:highlight w:val="none"/>
        </w:rPr>
        <w:t>年</w:t>
      </w:r>
      <w:r>
        <w:rPr>
          <w:rFonts w:hint="eastAsia" w:ascii="宋体" w:hAnsi="宋体" w:cs="宋体"/>
          <w:color w:val="auto"/>
          <w:highlight w:val="none"/>
          <w:u w:val="single"/>
        </w:rPr>
        <w:t>   </w:t>
      </w:r>
      <w:r>
        <w:rPr>
          <w:rFonts w:hint="eastAsia" w:ascii="宋体" w:hAnsi="宋体" w:cs="宋体"/>
          <w:color w:val="auto"/>
          <w:highlight w:val="none"/>
        </w:rPr>
        <w:t>月</w:t>
      </w:r>
      <w:r>
        <w:rPr>
          <w:rFonts w:hint="eastAsia" w:ascii="宋体" w:hAnsi="宋体" w:cs="宋体"/>
          <w:color w:val="auto"/>
          <w:highlight w:val="none"/>
          <w:u w:val="single"/>
        </w:rPr>
        <w:t>   </w:t>
      </w:r>
      <w:r>
        <w:rPr>
          <w:rFonts w:hint="eastAsia" w:ascii="宋体" w:hAnsi="宋体" w:cs="宋体"/>
          <w:color w:val="auto"/>
          <w:highlight w:val="none"/>
        </w:rPr>
        <w:t>日至</w:t>
      </w:r>
      <w:r>
        <w:rPr>
          <w:rFonts w:hint="eastAsia" w:ascii="宋体" w:hAnsi="宋体" w:cs="宋体"/>
          <w:color w:val="auto"/>
          <w:highlight w:val="none"/>
          <w:u w:val="single"/>
        </w:rPr>
        <w:t>    </w:t>
      </w:r>
      <w:r>
        <w:rPr>
          <w:rFonts w:hint="eastAsia" w:ascii="宋体" w:hAnsi="宋体" w:cs="宋体"/>
          <w:color w:val="auto"/>
          <w:highlight w:val="none"/>
        </w:rPr>
        <w:t>年</w:t>
      </w:r>
      <w:r>
        <w:rPr>
          <w:rFonts w:hint="eastAsia" w:ascii="宋体" w:hAnsi="宋体" w:cs="宋体"/>
          <w:color w:val="auto"/>
          <w:highlight w:val="none"/>
          <w:u w:val="single"/>
        </w:rPr>
        <w:t>   </w:t>
      </w:r>
      <w:r>
        <w:rPr>
          <w:rFonts w:hint="eastAsia" w:ascii="宋体" w:hAnsi="宋体" w:cs="宋体"/>
          <w:color w:val="auto"/>
          <w:highlight w:val="none"/>
        </w:rPr>
        <w:t>月</w:t>
      </w:r>
      <w:r>
        <w:rPr>
          <w:rFonts w:hint="eastAsia" w:ascii="宋体" w:hAnsi="宋体" w:cs="宋体"/>
          <w:color w:val="auto"/>
          <w:highlight w:val="none"/>
          <w:u w:val="single"/>
        </w:rPr>
        <w:t>   </w:t>
      </w:r>
      <w:r>
        <w:rPr>
          <w:rFonts w:hint="eastAsia" w:ascii="宋体" w:hAnsi="宋体" w:cs="宋体"/>
          <w:color w:val="auto"/>
          <w:highlight w:val="none"/>
        </w:rPr>
        <w:t>日我方缴纳的社会保险凭据（限：税务机关/社会保障资金管理机关的专用收据或社会保险缴纳清单，或社会保险的银行缴款收讫凭证）复印件，上述证明材料真实有效，否则我方负全部责任。</w:t>
      </w:r>
    </w:p>
    <w:p>
      <w:pPr>
        <w:pStyle w:val="11"/>
        <w:widowControl/>
        <w:spacing w:before="75" w:beforeAutospacing="0" w:after="75" w:afterAutospacing="0"/>
        <w:ind w:firstLine="420"/>
        <w:rPr>
          <w:color w:val="auto"/>
          <w:highlight w:val="none"/>
        </w:rPr>
      </w:pPr>
      <w:r>
        <w:rPr>
          <w:rFonts w:hint="eastAsia" w:ascii="宋体" w:hAnsi="宋体" w:cs="宋体"/>
          <w:color w:val="auto"/>
          <w:highlight w:val="none"/>
        </w:rPr>
        <w:t>（ ）非法人（包括其他组织、自然人）的</w:t>
      </w:r>
    </w:p>
    <w:p>
      <w:pPr>
        <w:pStyle w:val="11"/>
        <w:widowControl/>
        <w:spacing w:before="75" w:beforeAutospacing="0" w:after="75" w:afterAutospacing="0"/>
        <w:ind w:firstLine="420"/>
        <w:rPr>
          <w:color w:val="auto"/>
          <w:highlight w:val="none"/>
        </w:rPr>
      </w:pPr>
      <w:r>
        <w:rPr>
          <w:rFonts w:hint="eastAsia" w:ascii="宋体" w:hAnsi="宋体" w:cs="宋体"/>
          <w:color w:val="auto"/>
          <w:highlight w:val="none"/>
        </w:rPr>
        <w:t>自</w:t>
      </w:r>
      <w:r>
        <w:rPr>
          <w:rFonts w:hint="eastAsia" w:ascii="宋体" w:hAnsi="宋体" w:cs="宋体"/>
          <w:color w:val="auto"/>
          <w:highlight w:val="none"/>
          <w:u w:val="single"/>
        </w:rPr>
        <w:t>    </w:t>
      </w:r>
      <w:r>
        <w:rPr>
          <w:rFonts w:hint="eastAsia" w:ascii="宋体" w:hAnsi="宋体" w:cs="宋体"/>
          <w:color w:val="auto"/>
          <w:highlight w:val="none"/>
        </w:rPr>
        <w:t>年</w:t>
      </w:r>
      <w:r>
        <w:rPr>
          <w:rFonts w:hint="eastAsia" w:ascii="宋体" w:hAnsi="宋体" w:cs="宋体"/>
          <w:color w:val="auto"/>
          <w:highlight w:val="none"/>
          <w:u w:val="single"/>
        </w:rPr>
        <w:t>   </w:t>
      </w:r>
      <w:r>
        <w:rPr>
          <w:rFonts w:hint="eastAsia" w:ascii="宋体" w:hAnsi="宋体" w:cs="宋体"/>
          <w:color w:val="auto"/>
          <w:highlight w:val="none"/>
        </w:rPr>
        <w:t>月</w:t>
      </w:r>
      <w:r>
        <w:rPr>
          <w:rFonts w:hint="eastAsia" w:ascii="宋体" w:hAnsi="宋体" w:cs="宋体"/>
          <w:color w:val="auto"/>
          <w:highlight w:val="none"/>
          <w:u w:val="single"/>
        </w:rPr>
        <w:t>   </w:t>
      </w:r>
      <w:r>
        <w:rPr>
          <w:rFonts w:hint="eastAsia" w:ascii="宋体" w:hAnsi="宋体" w:cs="宋体"/>
          <w:color w:val="auto"/>
          <w:highlight w:val="none"/>
        </w:rPr>
        <w:t>日至</w:t>
      </w:r>
      <w:r>
        <w:rPr>
          <w:rFonts w:hint="eastAsia" w:ascii="宋体" w:hAnsi="宋体" w:cs="宋体"/>
          <w:color w:val="auto"/>
          <w:highlight w:val="none"/>
          <w:u w:val="single"/>
        </w:rPr>
        <w:t>    </w:t>
      </w:r>
      <w:r>
        <w:rPr>
          <w:rFonts w:hint="eastAsia" w:ascii="宋体" w:hAnsi="宋体" w:cs="宋体"/>
          <w:color w:val="auto"/>
          <w:highlight w:val="none"/>
        </w:rPr>
        <w:t>年</w:t>
      </w:r>
      <w:r>
        <w:rPr>
          <w:rFonts w:hint="eastAsia" w:ascii="宋体" w:hAnsi="宋体" w:cs="宋体"/>
          <w:color w:val="auto"/>
          <w:highlight w:val="none"/>
          <w:u w:val="single"/>
        </w:rPr>
        <w:t>   </w:t>
      </w:r>
      <w:r>
        <w:rPr>
          <w:rFonts w:hint="eastAsia" w:ascii="宋体" w:hAnsi="宋体" w:cs="宋体"/>
          <w:color w:val="auto"/>
          <w:highlight w:val="none"/>
        </w:rPr>
        <w:t>月</w:t>
      </w:r>
      <w:r>
        <w:rPr>
          <w:rFonts w:hint="eastAsia" w:ascii="宋体" w:hAnsi="宋体" w:cs="宋体"/>
          <w:color w:val="auto"/>
          <w:highlight w:val="none"/>
          <w:u w:val="single"/>
        </w:rPr>
        <w:t>   </w:t>
      </w:r>
      <w:r>
        <w:rPr>
          <w:rFonts w:hint="eastAsia" w:ascii="宋体" w:hAnsi="宋体" w:cs="宋体"/>
          <w:color w:val="auto"/>
          <w:highlight w:val="none"/>
        </w:rPr>
        <w:t>日我方缴纳的社会保险凭据（限：税务机关/社会保障资金管理机关的专用收据或社会保险缴纳清单，或社会保险的银行缴款收讫凭证）复印件，上述证明材料真实有效，否则我方负全部责任。</w:t>
      </w:r>
    </w:p>
    <w:p>
      <w:pPr>
        <w:pStyle w:val="11"/>
        <w:widowControl/>
        <w:spacing w:before="75" w:beforeAutospacing="0" w:after="75" w:afterAutospacing="0"/>
        <w:ind w:firstLine="480"/>
        <w:rPr>
          <w:rFonts w:hint="eastAsia"/>
          <w:color w:val="auto"/>
          <w:highlight w:val="none"/>
        </w:rPr>
      </w:pPr>
      <w:r>
        <w:rPr>
          <w:rStyle w:val="15"/>
          <w:rFonts w:hint="eastAsia" w:ascii="宋体" w:hAnsi="宋体" w:cs="宋体"/>
          <w:color w:val="auto"/>
          <w:highlight w:val="none"/>
        </w:rPr>
        <w:t>2、依法不需要缴纳社会保障资金的供应商</w:t>
      </w:r>
    </w:p>
    <w:p>
      <w:pPr>
        <w:pStyle w:val="11"/>
        <w:widowControl/>
        <w:spacing w:before="75" w:beforeAutospacing="0" w:after="75" w:afterAutospacing="0"/>
        <w:ind w:firstLine="420"/>
        <w:rPr>
          <w:color w:val="auto"/>
          <w:highlight w:val="none"/>
        </w:rPr>
      </w:pPr>
      <w:r>
        <w:rPr>
          <w:rFonts w:hint="eastAsia" w:ascii="宋体" w:hAnsi="宋体" w:cs="宋体"/>
          <w:color w:val="auto"/>
          <w:highlight w:val="none"/>
        </w:rPr>
        <w:t>（ ）现附上我方依法不需要缴纳社会保障资金证明材料复印件，上述证明材料真实有效，否则我方负全部责任。</w:t>
      </w:r>
    </w:p>
    <w:p>
      <w:pPr>
        <w:pStyle w:val="11"/>
        <w:widowControl/>
        <w:spacing w:before="0" w:beforeAutospacing="0" w:after="0" w:afterAutospacing="0" w:line="285" w:lineRule="atLeast"/>
        <w:rPr>
          <w:color w:val="auto"/>
          <w:highlight w:val="none"/>
        </w:rPr>
      </w:pPr>
      <w:r>
        <w:rPr>
          <w:rFonts w:hint="eastAsia" w:ascii="宋体" w:hAnsi="宋体" w:cs="宋体"/>
          <w:color w:val="auto"/>
          <w:highlight w:val="none"/>
        </w:rPr>
        <w:t> </w:t>
      </w:r>
    </w:p>
    <w:p>
      <w:pPr>
        <w:pStyle w:val="11"/>
        <w:widowControl/>
        <w:spacing w:before="0" w:beforeAutospacing="0" w:after="0" w:afterAutospacing="0" w:line="285" w:lineRule="atLeast"/>
        <w:rPr>
          <w:color w:val="auto"/>
          <w:highlight w:val="none"/>
        </w:rPr>
      </w:pPr>
      <w:r>
        <w:rPr>
          <w:rFonts w:hint="eastAsia" w:ascii="宋体" w:hAnsi="宋体" w:cs="宋体"/>
          <w:color w:val="auto"/>
          <w:sz w:val="21"/>
          <w:szCs w:val="21"/>
          <w:highlight w:val="none"/>
        </w:rPr>
        <w:t>★注意：</w:t>
      </w:r>
    </w:p>
    <w:p>
      <w:pPr>
        <w:pStyle w:val="11"/>
        <w:widowControl/>
        <w:spacing w:before="0" w:beforeAutospacing="0" w:after="0" w:afterAutospacing="0" w:line="285" w:lineRule="atLeast"/>
        <w:rPr>
          <w:color w:val="auto"/>
          <w:highlight w:val="none"/>
        </w:rPr>
      </w:pPr>
      <w:r>
        <w:rPr>
          <w:rFonts w:hint="eastAsia" w:ascii="宋体" w:hAnsi="宋体" w:cs="宋体"/>
          <w:color w:val="auto"/>
          <w:highlight w:val="none"/>
        </w:rPr>
        <w:t>1、请供应商根据实际情况填写，在相应的（）中打“√”，并按照本格式的要求提供相应证明材料的复印件。</w:t>
      </w:r>
    </w:p>
    <w:p>
      <w:pPr>
        <w:pStyle w:val="11"/>
        <w:widowControl/>
        <w:spacing w:before="0" w:beforeAutospacing="0" w:after="0" w:afterAutospacing="0" w:line="285" w:lineRule="atLeast"/>
        <w:rPr>
          <w:color w:val="auto"/>
          <w:highlight w:val="none"/>
        </w:rPr>
      </w:pPr>
      <w:r>
        <w:rPr>
          <w:rFonts w:hint="eastAsia" w:ascii="宋体" w:hAnsi="宋体" w:cs="宋体"/>
          <w:color w:val="auto"/>
          <w:highlight w:val="none"/>
        </w:rPr>
        <w:t>2、供应商提供的社会保险凭据复印件应符合下列规定：</w:t>
      </w:r>
    </w:p>
    <w:p>
      <w:pPr>
        <w:pStyle w:val="11"/>
        <w:widowControl/>
        <w:spacing w:before="0" w:beforeAutospacing="0" w:after="0" w:afterAutospacing="0" w:line="285" w:lineRule="atLeast"/>
        <w:rPr>
          <w:color w:val="auto"/>
          <w:highlight w:val="none"/>
        </w:rPr>
      </w:pPr>
      <w:r>
        <w:rPr>
          <w:rFonts w:hint="eastAsia" w:ascii="宋体" w:hAnsi="宋体" w:cs="宋体"/>
          <w:color w:val="auto"/>
          <w:highlight w:val="none"/>
        </w:rPr>
        <w:t>2.1首次响应文件递交截止时间前（不含截止时间的当月）已依法缴纳社会保障资金的供应商，提供首次响应文件递交截止时间前六个月（不含截止时间的当月）中任一月份的社会保险凭据复印件。</w:t>
      </w:r>
    </w:p>
    <w:p>
      <w:pPr>
        <w:pStyle w:val="11"/>
        <w:widowControl/>
        <w:spacing w:before="0" w:beforeAutospacing="0" w:after="0" w:afterAutospacing="0" w:line="285" w:lineRule="atLeast"/>
        <w:rPr>
          <w:rFonts w:hint="eastAsia" w:ascii="宋体" w:hAnsi="宋体" w:cs="宋体"/>
          <w:color w:val="auto"/>
          <w:highlight w:val="none"/>
        </w:rPr>
      </w:pPr>
      <w:r>
        <w:rPr>
          <w:rFonts w:hint="eastAsia" w:ascii="宋体" w:hAnsi="宋体" w:cs="宋体"/>
          <w:color w:val="auto"/>
          <w:highlight w:val="none"/>
        </w:rPr>
        <w:t>2.2首次响应文件递交截止时间的当月成立且已依法缴纳社会保障资金的供应商，提供首次响应文件递交截止时间当月的社会保险凭据复印件。</w:t>
      </w:r>
    </w:p>
    <w:p>
      <w:pPr>
        <w:pStyle w:val="11"/>
        <w:widowControl/>
        <w:spacing w:before="0" w:beforeAutospacing="0" w:after="0" w:afterAutospacing="0" w:line="285" w:lineRule="atLeast"/>
        <w:rPr>
          <w:color w:val="auto"/>
          <w:highlight w:val="none"/>
        </w:rPr>
      </w:pPr>
      <w:r>
        <w:rPr>
          <w:rFonts w:hint="eastAsia" w:ascii="宋体" w:hAnsi="宋体" w:cs="宋体"/>
          <w:color w:val="auto"/>
          <w:sz w:val="21"/>
          <w:szCs w:val="21"/>
          <w:highlight w:val="none"/>
        </w:rPr>
        <w:t>2.3</w:t>
      </w:r>
      <w:r>
        <w:rPr>
          <w:rFonts w:hint="eastAsia" w:ascii="宋体" w:hAnsi="宋体" w:cs="宋体"/>
          <w:color w:val="auto"/>
          <w:highlight w:val="none"/>
        </w:rPr>
        <w:t>首次响应文件递交截止时间的当月成立但因税务机关</w:t>
      </w:r>
      <w:r>
        <w:rPr>
          <w:rFonts w:hint="eastAsia" w:ascii="宋体" w:hAnsi="宋体" w:cs="宋体"/>
          <w:color w:val="auto"/>
          <w:sz w:val="21"/>
          <w:szCs w:val="21"/>
          <w:highlight w:val="none"/>
        </w:rPr>
        <w:t>/社会保障资金管理机关原因而尚未依法缴纳社会保障资金的</w:t>
      </w:r>
      <w:r>
        <w:rPr>
          <w:rFonts w:hint="eastAsia" w:ascii="宋体" w:hAnsi="宋体" w:cs="宋体"/>
          <w:color w:val="auto"/>
          <w:highlight w:val="none"/>
        </w:rPr>
        <w:t>供应商，提供依法缴纳社会保障资金承诺书原件（格式自拟），该承诺书视同社会保险凭据。</w:t>
      </w:r>
    </w:p>
    <w:p>
      <w:pPr>
        <w:pStyle w:val="11"/>
        <w:widowControl/>
        <w:spacing w:before="0" w:beforeAutospacing="0" w:after="0" w:afterAutospacing="0" w:line="285" w:lineRule="atLeast"/>
        <w:rPr>
          <w:color w:val="auto"/>
          <w:highlight w:val="none"/>
        </w:rPr>
      </w:pPr>
      <w:r>
        <w:rPr>
          <w:rFonts w:hint="eastAsia" w:ascii="宋体" w:hAnsi="宋体" w:cs="宋体"/>
          <w:color w:val="auto"/>
          <w:highlight w:val="none"/>
        </w:rPr>
        <w:t>3、供应商提供的相应证明材料复印件均应符合：内容完整、清晰、整洁，并由供应商加盖其单位公章。</w:t>
      </w:r>
    </w:p>
    <w:p>
      <w:pPr>
        <w:pStyle w:val="11"/>
        <w:widowControl/>
        <w:spacing w:before="0" w:beforeAutospacing="0" w:after="0" w:afterAutospacing="0" w:line="285" w:lineRule="atLeast"/>
        <w:rPr>
          <w:color w:val="auto"/>
          <w:highlight w:val="none"/>
        </w:rPr>
      </w:pPr>
      <w:r>
        <w:rPr>
          <w:rFonts w:hint="eastAsia" w:ascii="宋体" w:hAnsi="宋体" w:cs="宋体"/>
          <w:color w:val="auto"/>
          <w:highlight w:val="none"/>
        </w:rPr>
        <w:t>4、“</w:t>
      </w:r>
      <w:r>
        <w:rPr>
          <w:rStyle w:val="15"/>
          <w:rFonts w:hint="eastAsia" w:ascii="宋体" w:hAnsi="宋体" w:cs="宋体"/>
          <w:color w:val="auto"/>
          <w:highlight w:val="none"/>
        </w:rPr>
        <w:t>依法缴纳社会保障资金证明材料</w:t>
      </w:r>
      <w:r>
        <w:rPr>
          <w:rFonts w:hint="eastAsia" w:ascii="宋体" w:hAnsi="宋体" w:cs="宋体"/>
          <w:color w:val="auto"/>
          <w:highlight w:val="none"/>
        </w:rPr>
        <w:t>”有欠缴记录的，视为</w:t>
      </w:r>
      <w:r>
        <w:rPr>
          <w:rStyle w:val="15"/>
          <w:rFonts w:hint="eastAsia" w:ascii="宋体" w:hAnsi="宋体" w:cs="宋体"/>
          <w:color w:val="auto"/>
          <w:highlight w:val="none"/>
        </w:rPr>
        <w:t>未依法缴纳社会保障资金</w:t>
      </w:r>
      <w:r>
        <w:rPr>
          <w:rFonts w:hint="eastAsia" w:ascii="宋体" w:hAnsi="宋体" w:cs="宋体"/>
          <w:color w:val="auto"/>
          <w:highlight w:val="none"/>
        </w:rPr>
        <w:t>。</w:t>
      </w:r>
    </w:p>
    <w:p>
      <w:pPr>
        <w:pStyle w:val="11"/>
        <w:widowControl/>
        <w:spacing w:before="75" w:beforeAutospacing="0" w:after="75" w:afterAutospacing="0" w:line="285" w:lineRule="atLeast"/>
        <w:rPr>
          <w:color w:val="auto"/>
          <w:highlight w:val="none"/>
        </w:rPr>
      </w:pPr>
      <w:r>
        <w:rPr>
          <w:rFonts w:hint="eastAsia" w:ascii="宋体" w:hAnsi="宋体" w:cs="宋体"/>
          <w:color w:val="auto"/>
          <w:highlight w:val="none"/>
        </w:rPr>
        <w:t>5、对于接受联合体形式的磋商且供应商是联合体的，则联合体各成员都应当提交本资格证明文件。</w:t>
      </w:r>
    </w:p>
    <w:p>
      <w:pPr>
        <w:pStyle w:val="11"/>
        <w:widowControl/>
        <w:spacing w:before="0" w:beforeAutospacing="0" w:after="0" w:afterAutospacing="0" w:line="285" w:lineRule="atLeast"/>
        <w:rPr>
          <w:color w:val="auto"/>
          <w:highlight w:val="none"/>
        </w:rPr>
      </w:pPr>
      <w:r>
        <w:rPr>
          <w:rFonts w:hint="eastAsia" w:ascii="宋体" w:hAnsi="宋体" w:cs="宋体"/>
          <w:color w:val="auto"/>
          <w:highlight w:val="none"/>
        </w:rPr>
        <w:t> </w:t>
      </w:r>
    </w:p>
    <w:p>
      <w:pPr>
        <w:pStyle w:val="11"/>
        <w:widowControl/>
        <w:spacing w:before="0" w:beforeAutospacing="0" w:after="0" w:afterAutospacing="0" w:line="285" w:lineRule="atLeast"/>
        <w:rPr>
          <w:color w:val="auto"/>
          <w:highlight w:val="none"/>
        </w:rPr>
      </w:pPr>
      <w:r>
        <w:rPr>
          <w:rFonts w:hint="eastAsia" w:ascii="宋体" w:hAnsi="宋体" w:cs="宋体"/>
          <w:color w:val="auto"/>
          <w:highlight w:val="none"/>
        </w:rPr>
        <w:t>供应商代表：</w:t>
      </w:r>
      <w:r>
        <w:rPr>
          <w:rFonts w:hint="eastAsia" w:ascii="宋体" w:hAnsi="宋体" w:cs="宋体"/>
          <w:color w:val="auto"/>
          <w:highlight w:val="none"/>
          <w:u w:val="single"/>
        </w:rPr>
        <w:t>             （签字） </w:t>
      </w:r>
    </w:p>
    <w:p>
      <w:pPr>
        <w:pStyle w:val="11"/>
        <w:widowControl/>
        <w:spacing w:before="75" w:beforeAutospacing="0" w:after="75" w:afterAutospacing="0" w:line="285" w:lineRule="atLeast"/>
        <w:jc w:val="both"/>
        <w:rPr>
          <w:color w:val="auto"/>
          <w:highlight w:val="none"/>
        </w:rPr>
      </w:pPr>
      <w:r>
        <w:rPr>
          <w:rFonts w:hint="eastAsia" w:ascii="宋体" w:hAnsi="宋体" w:cs="宋体"/>
          <w:color w:val="auto"/>
          <w:highlight w:val="none"/>
        </w:rPr>
        <w:t>供应商名称：</w:t>
      </w:r>
      <w:r>
        <w:rPr>
          <w:rFonts w:hint="eastAsia" w:ascii="宋体" w:hAnsi="宋体" w:cs="宋体"/>
          <w:color w:val="auto"/>
          <w:highlight w:val="none"/>
          <w:u w:val="single"/>
        </w:rPr>
        <w:t>         （全称并加盖公章）              </w:t>
      </w:r>
    </w:p>
    <w:p>
      <w:pPr>
        <w:pStyle w:val="11"/>
        <w:widowControl/>
        <w:spacing w:before="0" w:beforeAutospacing="0" w:after="0" w:afterAutospacing="0" w:line="285" w:lineRule="atLeast"/>
        <w:rPr>
          <w:color w:val="auto"/>
          <w:highlight w:val="none"/>
        </w:rPr>
      </w:pPr>
      <w:r>
        <w:rPr>
          <w:rFonts w:hint="eastAsia" w:ascii="宋体" w:hAnsi="宋体" w:cs="宋体"/>
          <w:color w:val="auto"/>
          <w:highlight w:val="none"/>
        </w:rPr>
        <w:t>日  期： </w:t>
      </w:r>
      <w:r>
        <w:rPr>
          <w:rFonts w:hint="eastAsia" w:ascii="宋体" w:hAnsi="宋体" w:cs="宋体"/>
          <w:color w:val="auto"/>
          <w:highlight w:val="none"/>
          <w:u w:val="single"/>
        </w:rPr>
        <w:t>    </w:t>
      </w:r>
      <w:r>
        <w:rPr>
          <w:rFonts w:hint="eastAsia" w:ascii="宋体" w:hAnsi="宋体" w:cs="宋体"/>
          <w:color w:val="auto"/>
          <w:highlight w:val="none"/>
        </w:rPr>
        <w:t>年 </w:t>
      </w:r>
      <w:r>
        <w:rPr>
          <w:rFonts w:hint="eastAsia" w:ascii="宋体" w:hAnsi="宋体" w:cs="宋体"/>
          <w:color w:val="auto"/>
          <w:highlight w:val="none"/>
          <w:u w:val="single"/>
        </w:rPr>
        <w:t>   </w:t>
      </w:r>
      <w:r>
        <w:rPr>
          <w:rFonts w:hint="eastAsia" w:ascii="宋体" w:hAnsi="宋体" w:cs="宋体"/>
          <w:color w:val="auto"/>
          <w:highlight w:val="none"/>
        </w:rPr>
        <w:t>月 </w:t>
      </w:r>
      <w:r>
        <w:rPr>
          <w:rFonts w:hint="eastAsia" w:ascii="宋体" w:hAnsi="宋体" w:cs="宋体"/>
          <w:color w:val="auto"/>
          <w:highlight w:val="none"/>
          <w:u w:val="single"/>
        </w:rPr>
        <w:t>   </w:t>
      </w:r>
      <w:r>
        <w:rPr>
          <w:rFonts w:hint="eastAsia" w:ascii="宋体" w:hAnsi="宋体" w:cs="宋体"/>
          <w:color w:val="auto"/>
          <w:highlight w:val="none"/>
        </w:rPr>
        <w:t>日</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w:t>
      </w:r>
    </w:p>
    <w:p>
      <w:pPr>
        <w:pStyle w:val="11"/>
        <w:widowControl/>
        <w:spacing w:before="75" w:beforeAutospacing="0" w:after="75" w:afterAutospacing="0" w:line="435" w:lineRule="atLeast"/>
        <w:rPr>
          <w:rFonts w:hint="eastAsia" w:ascii="宋体" w:hAnsi="宋体" w:cs="宋体"/>
          <w:color w:val="auto"/>
          <w:highlight w:val="none"/>
        </w:rPr>
      </w:pPr>
    </w:p>
    <w:p>
      <w:pPr>
        <w:pStyle w:val="11"/>
        <w:widowControl/>
        <w:spacing w:before="75" w:beforeAutospacing="0" w:after="75" w:afterAutospacing="0" w:line="435" w:lineRule="atLeast"/>
        <w:rPr>
          <w:rFonts w:hint="eastAsia" w:ascii="宋体" w:hAnsi="宋体" w:cs="宋体"/>
          <w:color w:val="auto"/>
          <w:highlight w:val="none"/>
        </w:rPr>
      </w:pPr>
    </w:p>
    <w:p>
      <w:pPr>
        <w:pStyle w:val="11"/>
        <w:widowControl/>
        <w:spacing w:before="75" w:beforeAutospacing="0" w:after="75" w:afterAutospacing="0" w:line="435" w:lineRule="atLeast"/>
        <w:rPr>
          <w:rFonts w:hint="eastAsia" w:ascii="宋体" w:hAnsi="宋体" w:cs="宋体"/>
          <w:color w:val="auto"/>
          <w:highlight w:val="none"/>
        </w:rPr>
      </w:pPr>
    </w:p>
    <w:p>
      <w:pPr>
        <w:pStyle w:val="11"/>
        <w:widowControl/>
        <w:spacing w:before="75" w:beforeAutospacing="0" w:after="75" w:afterAutospacing="0" w:line="435" w:lineRule="atLeast"/>
        <w:jc w:val="center"/>
        <w:rPr>
          <w:color w:val="auto"/>
          <w:highlight w:val="none"/>
        </w:rPr>
      </w:pPr>
      <w:r>
        <w:rPr>
          <w:rStyle w:val="15"/>
          <w:rFonts w:hint="eastAsia" w:ascii="宋体" w:hAnsi="宋体" w:cs="宋体"/>
          <w:color w:val="auto"/>
          <w:highlight w:val="none"/>
        </w:rPr>
        <w:t>具备履行合同所必需设备和专业技术能力证明材料</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w:t>
      </w:r>
    </w:p>
    <w:p>
      <w:pPr>
        <w:pStyle w:val="11"/>
        <w:widowControl/>
        <w:spacing w:before="75" w:beforeAutospacing="0" w:after="75" w:afterAutospacing="0" w:line="435" w:lineRule="atLeast"/>
        <w:jc w:val="center"/>
        <w:rPr>
          <w:color w:val="auto"/>
          <w:highlight w:val="none"/>
        </w:rPr>
      </w:pPr>
      <w:r>
        <w:rPr>
          <w:rStyle w:val="15"/>
          <w:rFonts w:hint="eastAsia" w:ascii="宋体" w:hAnsi="宋体" w:cs="宋体"/>
          <w:color w:val="auto"/>
          <w:highlight w:val="none"/>
        </w:rPr>
        <w:t>声明函</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致：</w:t>
      </w:r>
      <w:r>
        <w:rPr>
          <w:rFonts w:hint="eastAsia" w:ascii="宋体" w:hAnsi="宋体" w:cs="宋体"/>
          <w:color w:val="auto"/>
          <w:highlight w:val="none"/>
          <w:u w:val="single"/>
        </w:rPr>
        <w:t>     (招标人或招标代理机构)       </w:t>
      </w:r>
    </w:p>
    <w:p>
      <w:pPr>
        <w:pStyle w:val="11"/>
        <w:widowControl/>
        <w:spacing w:before="75" w:beforeAutospacing="0" w:after="75" w:afterAutospacing="0"/>
        <w:ind w:firstLine="480"/>
        <w:rPr>
          <w:color w:val="auto"/>
          <w:highlight w:val="none"/>
        </w:rPr>
      </w:pPr>
      <w:r>
        <w:rPr>
          <w:rFonts w:hint="eastAsia" w:ascii="宋体" w:hAnsi="宋体" w:cs="宋体"/>
          <w:color w:val="auto"/>
          <w:highlight w:val="none"/>
        </w:rPr>
        <w:t>我方具备履行合同所必需的设备和专业技术能力，并对本声明承诺的真实性负责，否则产生不利后果由我方承担责任。</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特此声明。</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★注意：</w:t>
      </w:r>
    </w:p>
    <w:p>
      <w:pPr>
        <w:pStyle w:val="11"/>
        <w:widowControl/>
        <w:spacing w:before="75" w:beforeAutospacing="0" w:after="75" w:afterAutospacing="0" w:line="435" w:lineRule="atLeast"/>
        <w:ind w:firstLine="480"/>
        <w:rPr>
          <w:color w:val="auto"/>
          <w:highlight w:val="none"/>
        </w:rPr>
      </w:pPr>
      <w:r>
        <w:rPr>
          <w:rStyle w:val="15"/>
          <w:rFonts w:hint="eastAsia" w:ascii="宋体" w:hAnsi="宋体" w:cs="宋体"/>
          <w:color w:val="auto"/>
          <w:highlight w:val="none"/>
        </w:rPr>
        <w:t>1.磋商文件“供应商的资格”中特定资格条件如果没有特别规定，则由供应商在响应文件中按上述格式提供其具备履行合同所必需的设备和专业技术能力的声明即可，声明函应加盖供应商单位公章。</w:t>
      </w:r>
    </w:p>
    <w:p>
      <w:pPr>
        <w:pStyle w:val="11"/>
        <w:widowControl/>
        <w:spacing w:before="75" w:beforeAutospacing="0" w:after="75" w:afterAutospacing="0" w:line="435" w:lineRule="atLeast"/>
        <w:ind w:firstLine="480"/>
        <w:rPr>
          <w:color w:val="auto"/>
          <w:highlight w:val="none"/>
        </w:rPr>
      </w:pPr>
      <w:r>
        <w:rPr>
          <w:rStyle w:val="15"/>
          <w:rFonts w:hint="eastAsia" w:ascii="宋体" w:hAnsi="宋体" w:cs="宋体"/>
          <w:color w:val="auto"/>
          <w:highlight w:val="none"/>
        </w:rPr>
        <w:t>2.如果根据项目的特点和需要，对履行合同所必需的设备和专业技术能力的证明材料有特别专项要求的，则招标人或招标代理机构应当在磋商文件“供应商的资格”中特定资格条件进行明确约定，供应商可以不用提供上述格式要求的声明函，但必须按特定资格条件的规定提供相应专项证明材料，并对相应证明材料的真实性负责。</w:t>
      </w:r>
    </w:p>
    <w:p>
      <w:pPr>
        <w:pStyle w:val="11"/>
        <w:widowControl/>
        <w:spacing w:before="75" w:beforeAutospacing="0" w:after="75" w:afterAutospacing="0" w:line="435" w:lineRule="atLeast"/>
        <w:jc w:val="both"/>
        <w:rPr>
          <w:color w:val="auto"/>
          <w:highlight w:val="none"/>
        </w:rPr>
      </w:pPr>
      <w:r>
        <w:rPr>
          <w:rStyle w:val="15"/>
          <w:rFonts w:hint="eastAsia" w:ascii="宋体" w:hAnsi="宋体" w:cs="宋体"/>
          <w:color w:val="auto"/>
          <w:highlight w:val="none"/>
        </w:rPr>
        <w:t>  3.对于接受联合体形式的磋商且供应商是联合体的，则联合体各成员都应当提交本资格证明文件。</w:t>
      </w:r>
    </w:p>
    <w:p>
      <w:pPr>
        <w:pStyle w:val="11"/>
        <w:widowControl/>
        <w:spacing w:before="75" w:beforeAutospacing="0" w:after="75" w:afterAutospacing="0" w:line="435" w:lineRule="atLeast"/>
        <w:rPr>
          <w:rFonts w:hint="eastAsia" w:ascii="宋体" w:hAnsi="宋体" w:cs="宋体"/>
          <w:color w:val="auto"/>
          <w:highlight w:val="none"/>
        </w:rPr>
      </w:pPr>
    </w:p>
    <w:p>
      <w:pPr>
        <w:pStyle w:val="11"/>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供应商代表：</w:t>
      </w:r>
      <w:r>
        <w:rPr>
          <w:rFonts w:hint="eastAsia" w:ascii="宋体" w:hAnsi="宋体" w:cs="宋体"/>
          <w:color w:val="auto"/>
          <w:highlight w:val="none"/>
          <w:u w:val="single"/>
        </w:rPr>
        <w:t>             （签字） </w:t>
      </w:r>
    </w:p>
    <w:p>
      <w:pPr>
        <w:pStyle w:val="11"/>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供应商名称：</w:t>
      </w:r>
      <w:r>
        <w:rPr>
          <w:rFonts w:hint="eastAsia" w:ascii="宋体" w:hAnsi="宋体" w:cs="宋体"/>
          <w:color w:val="auto"/>
          <w:highlight w:val="none"/>
          <w:u w:val="single"/>
        </w:rPr>
        <w:t>         （全称并加盖公章） </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日  期： </w:t>
      </w:r>
      <w:r>
        <w:rPr>
          <w:rFonts w:hint="eastAsia" w:ascii="宋体" w:hAnsi="宋体" w:cs="宋体"/>
          <w:color w:val="auto"/>
          <w:highlight w:val="none"/>
          <w:u w:val="single"/>
        </w:rPr>
        <w:t>    </w:t>
      </w:r>
      <w:r>
        <w:rPr>
          <w:rFonts w:hint="eastAsia" w:ascii="宋体" w:hAnsi="宋体" w:cs="宋体"/>
          <w:color w:val="auto"/>
          <w:highlight w:val="none"/>
        </w:rPr>
        <w:t>年 </w:t>
      </w:r>
      <w:r>
        <w:rPr>
          <w:rFonts w:hint="eastAsia" w:ascii="宋体" w:hAnsi="宋体" w:cs="宋体"/>
          <w:color w:val="auto"/>
          <w:highlight w:val="none"/>
          <w:u w:val="single"/>
        </w:rPr>
        <w:t>   </w:t>
      </w:r>
      <w:r>
        <w:rPr>
          <w:rFonts w:hint="eastAsia" w:ascii="宋体" w:hAnsi="宋体" w:cs="宋体"/>
          <w:color w:val="auto"/>
          <w:highlight w:val="none"/>
        </w:rPr>
        <w:t>月 </w:t>
      </w:r>
      <w:r>
        <w:rPr>
          <w:rFonts w:hint="eastAsia" w:ascii="宋体" w:hAnsi="宋体" w:cs="宋体"/>
          <w:color w:val="auto"/>
          <w:highlight w:val="none"/>
          <w:u w:val="single"/>
        </w:rPr>
        <w:t>   </w:t>
      </w:r>
      <w:r>
        <w:rPr>
          <w:rFonts w:hint="eastAsia" w:ascii="宋体" w:hAnsi="宋体" w:cs="宋体"/>
          <w:color w:val="auto"/>
          <w:highlight w:val="none"/>
        </w:rPr>
        <w:t>日</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 </w:t>
      </w:r>
    </w:p>
    <w:p>
      <w:pPr>
        <w:pStyle w:val="11"/>
        <w:widowControl/>
        <w:spacing w:before="75" w:beforeAutospacing="0" w:after="75" w:afterAutospacing="0" w:line="435" w:lineRule="atLeast"/>
        <w:rPr>
          <w:rFonts w:hint="eastAsia" w:ascii="宋体" w:hAnsi="宋体" w:cs="宋体"/>
          <w:color w:val="auto"/>
          <w:highlight w:val="none"/>
        </w:rPr>
      </w:pPr>
    </w:p>
    <w:p>
      <w:pPr>
        <w:pStyle w:val="11"/>
        <w:widowControl/>
        <w:spacing w:before="75" w:beforeAutospacing="0" w:after="75" w:afterAutospacing="0" w:line="435" w:lineRule="atLeast"/>
        <w:rPr>
          <w:rFonts w:hint="eastAsia" w:ascii="宋体" w:hAnsi="宋体" w:cs="宋体"/>
          <w:color w:val="auto"/>
          <w:highlight w:val="none"/>
        </w:rPr>
      </w:pPr>
    </w:p>
    <w:p>
      <w:pPr>
        <w:pStyle w:val="11"/>
        <w:widowControl/>
        <w:spacing w:before="75" w:beforeAutospacing="0" w:after="75" w:afterAutospacing="0" w:line="435" w:lineRule="atLeast"/>
        <w:jc w:val="center"/>
        <w:rPr>
          <w:color w:val="auto"/>
          <w:highlight w:val="none"/>
        </w:rPr>
      </w:pPr>
      <w:r>
        <w:rPr>
          <w:rStyle w:val="15"/>
          <w:rFonts w:hint="eastAsia" w:ascii="宋体" w:hAnsi="宋体" w:cs="宋体"/>
          <w:color w:val="auto"/>
          <w:highlight w:val="none"/>
        </w:rPr>
        <w:t>参加招标活动前三年内在经营活动中</w:t>
      </w:r>
    </w:p>
    <w:p>
      <w:pPr>
        <w:pStyle w:val="11"/>
        <w:widowControl/>
        <w:spacing w:before="75" w:beforeAutospacing="0" w:after="75" w:afterAutospacing="0" w:line="435" w:lineRule="atLeast"/>
        <w:rPr>
          <w:color w:val="auto"/>
          <w:highlight w:val="none"/>
        </w:rPr>
      </w:pPr>
      <w:r>
        <w:rPr>
          <w:rStyle w:val="15"/>
          <w:rFonts w:hint="eastAsia" w:ascii="宋体" w:hAnsi="宋体" w:cs="宋体"/>
          <w:color w:val="auto"/>
          <w:highlight w:val="none"/>
        </w:rPr>
        <w:t>         </w:t>
      </w:r>
    </w:p>
    <w:p>
      <w:pPr>
        <w:pStyle w:val="11"/>
        <w:widowControl/>
        <w:spacing w:before="75" w:beforeAutospacing="0" w:after="75" w:afterAutospacing="0" w:line="435" w:lineRule="atLeast"/>
        <w:ind w:firstLine="2941" w:firstLineChars="1221"/>
        <w:rPr>
          <w:color w:val="auto"/>
          <w:highlight w:val="none"/>
        </w:rPr>
      </w:pPr>
      <w:r>
        <w:rPr>
          <w:rStyle w:val="15"/>
          <w:rFonts w:hint="eastAsia" w:ascii="宋体" w:hAnsi="宋体" w:cs="宋体"/>
          <w:color w:val="auto"/>
          <w:highlight w:val="none"/>
        </w:rPr>
        <w:t>没有重大违法记录书面声明</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致：</w:t>
      </w:r>
      <w:r>
        <w:rPr>
          <w:rFonts w:hint="eastAsia" w:ascii="宋体" w:hAnsi="宋体" w:cs="宋体"/>
          <w:color w:val="auto"/>
          <w:highlight w:val="none"/>
          <w:u w:val="single"/>
        </w:rPr>
        <w:t>     (招标人或招标代理机构)       </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参加招标活动前三年内，我方在经营活动中没有重大违法记录，</w:t>
      </w:r>
      <w:r>
        <w:rPr>
          <w:rFonts w:hint="eastAsia" w:ascii="宋体" w:hAnsi="宋体" w:cs="宋体"/>
          <w:color w:val="auto"/>
          <w:sz w:val="21"/>
          <w:szCs w:val="21"/>
          <w:highlight w:val="none"/>
        </w:rPr>
        <w:t>也无行贿犯罪记录。</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特此声明。</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★注意：</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1、“重大违法记录”指供应商因违法经营受到刑事处罚或责令停产停业、吊销许可证或执照、较大数额罚款等行政处罚。</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2、请供应商根据实际情况进行声明，若声明不真实，视为提供虚假材料。</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3、对于接受联合体形式的磋商且供应商是联合体的，则联合体各成员都应当提交本资格证明文件。</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w:t>
      </w:r>
    </w:p>
    <w:p>
      <w:pPr>
        <w:pStyle w:val="11"/>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供应商代表：</w:t>
      </w:r>
      <w:r>
        <w:rPr>
          <w:rFonts w:hint="eastAsia" w:ascii="宋体" w:hAnsi="宋体" w:cs="宋体"/>
          <w:color w:val="auto"/>
          <w:highlight w:val="none"/>
          <w:u w:val="single"/>
        </w:rPr>
        <w:t>             （签字） </w:t>
      </w:r>
    </w:p>
    <w:p>
      <w:pPr>
        <w:pStyle w:val="11"/>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供应商名称：</w:t>
      </w:r>
      <w:r>
        <w:rPr>
          <w:rFonts w:hint="eastAsia" w:ascii="宋体" w:hAnsi="宋体" w:cs="宋体"/>
          <w:color w:val="auto"/>
          <w:highlight w:val="none"/>
          <w:u w:val="single"/>
        </w:rPr>
        <w:t>         （全称并加盖公章）  </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日  期： </w:t>
      </w:r>
      <w:r>
        <w:rPr>
          <w:rFonts w:hint="eastAsia" w:ascii="宋体" w:hAnsi="宋体" w:cs="宋体"/>
          <w:color w:val="auto"/>
          <w:highlight w:val="none"/>
          <w:u w:val="single"/>
        </w:rPr>
        <w:t>    </w:t>
      </w:r>
      <w:r>
        <w:rPr>
          <w:rFonts w:hint="eastAsia" w:ascii="宋体" w:hAnsi="宋体" w:cs="宋体"/>
          <w:color w:val="auto"/>
          <w:highlight w:val="none"/>
        </w:rPr>
        <w:t>年 </w:t>
      </w:r>
      <w:r>
        <w:rPr>
          <w:rFonts w:hint="eastAsia" w:ascii="宋体" w:hAnsi="宋体" w:cs="宋体"/>
          <w:color w:val="auto"/>
          <w:highlight w:val="none"/>
          <w:u w:val="single"/>
        </w:rPr>
        <w:t>   </w:t>
      </w:r>
      <w:r>
        <w:rPr>
          <w:rFonts w:hint="eastAsia" w:ascii="宋体" w:hAnsi="宋体" w:cs="宋体"/>
          <w:color w:val="auto"/>
          <w:highlight w:val="none"/>
        </w:rPr>
        <w:t>月 </w:t>
      </w:r>
      <w:r>
        <w:rPr>
          <w:rFonts w:hint="eastAsia" w:ascii="宋体" w:hAnsi="宋体" w:cs="宋体"/>
          <w:color w:val="auto"/>
          <w:highlight w:val="none"/>
          <w:u w:val="single"/>
        </w:rPr>
        <w:t>   </w:t>
      </w:r>
      <w:r>
        <w:rPr>
          <w:rFonts w:hint="eastAsia" w:ascii="宋体" w:hAnsi="宋体" w:cs="宋体"/>
          <w:color w:val="auto"/>
          <w:highlight w:val="none"/>
        </w:rPr>
        <w:t>日</w:t>
      </w:r>
    </w:p>
    <w:p>
      <w:pPr>
        <w:rPr>
          <w:rFonts w:hint="eastAsia" w:ascii="宋体" w:hAnsi="宋体" w:cs="宋体"/>
          <w:color w:val="auto"/>
          <w:sz w:val="24"/>
          <w:highlight w:val="none"/>
        </w:rPr>
      </w:pPr>
    </w:p>
    <w:p>
      <w:pPr>
        <w:rPr>
          <w:rFonts w:hint="eastAsia" w:ascii="宋体" w:hAnsi="宋体" w:cs="宋体"/>
          <w:color w:val="auto"/>
          <w:sz w:val="24"/>
          <w:highlight w:val="none"/>
        </w:rPr>
      </w:pPr>
    </w:p>
    <w:p>
      <w:pPr>
        <w:pStyle w:val="11"/>
        <w:widowControl/>
        <w:spacing w:before="75" w:beforeAutospacing="0" w:after="75" w:afterAutospacing="0" w:line="435" w:lineRule="atLeast"/>
        <w:rPr>
          <w:rFonts w:hint="eastAsia" w:ascii="宋体" w:hAnsi="宋体" w:cs="宋体"/>
          <w:color w:val="auto"/>
          <w:highlight w:val="none"/>
        </w:rPr>
      </w:pP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附件3-5             </w:t>
      </w:r>
      <w:r>
        <w:rPr>
          <w:rStyle w:val="15"/>
          <w:rFonts w:hint="eastAsia" w:ascii="宋体" w:hAnsi="宋体" w:cs="宋体"/>
          <w:color w:val="auto"/>
          <w:highlight w:val="none"/>
        </w:rPr>
        <w:t>信用记录查询结果</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致：</w:t>
      </w:r>
      <w:r>
        <w:rPr>
          <w:rFonts w:hint="eastAsia" w:ascii="宋体" w:hAnsi="宋体" w:cs="宋体"/>
          <w:color w:val="auto"/>
          <w:highlight w:val="none"/>
          <w:u w:val="single"/>
        </w:rPr>
        <w:t>     (招标人或招标代理机构)     </w:t>
      </w:r>
    </w:p>
    <w:p>
      <w:pPr>
        <w:pStyle w:val="11"/>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现附上截至</w:t>
      </w:r>
      <w:r>
        <w:rPr>
          <w:rFonts w:hint="eastAsia" w:ascii="宋体" w:hAnsi="宋体" w:cs="宋体"/>
          <w:color w:val="auto"/>
          <w:highlight w:val="none"/>
          <w:u w:val="single"/>
        </w:rPr>
        <w:t>   </w:t>
      </w:r>
      <w:r>
        <w:rPr>
          <w:rFonts w:hint="eastAsia" w:ascii="宋体" w:hAnsi="宋体" w:cs="宋体"/>
          <w:color w:val="auto"/>
          <w:highlight w:val="none"/>
        </w:rPr>
        <w:t>年</w:t>
      </w:r>
      <w:r>
        <w:rPr>
          <w:rFonts w:hint="eastAsia" w:ascii="宋体" w:hAnsi="宋体" w:cs="宋体"/>
          <w:color w:val="auto"/>
          <w:highlight w:val="none"/>
          <w:u w:val="single"/>
        </w:rPr>
        <w:t>   </w:t>
      </w:r>
      <w:r>
        <w:rPr>
          <w:rFonts w:hint="eastAsia" w:ascii="宋体" w:hAnsi="宋体" w:cs="宋体"/>
          <w:color w:val="auto"/>
          <w:highlight w:val="none"/>
        </w:rPr>
        <w:t>月</w:t>
      </w:r>
      <w:r>
        <w:rPr>
          <w:rFonts w:hint="eastAsia" w:ascii="宋体" w:hAnsi="宋体" w:cs="宋体"/>
          <w:color w:val="auto"/>
          <w:highlight w:val="none"/>
          <w:u w:val="single"/>
        </w:rPr>
        <w:t>   </w:t>
      </w:r>
      <w:r>
        <w:rPr>
          <w:rFonts w:hint="eastAsia" w:ascii="宋体" w:hAnsi="宋体" w:cs="宋体"/>
          <w:color w:val="auto"/>
          <w:highlight w:val="none"/>
        </w:rPr>
        <w:t>日</w:t>
      </w:r>
      <w:r>
        <w:rPr>
          <w:rFonts w:hint="eastAsia" w:ascii="宋体" w:hAnsi="宋体" w:cs="宋体"/>
          <w:color w:val="auto"/>
          <w:highlight w:val="none"/>
          <w:u w:val="single"/>
        </w:rPr>
        <w:t>   </w:t>
      </w:r>
      <w:r>
        <w:rPr>
          <w:rFonts w:hint="eastAsia" w:ascii="宋体" w:hAnsi="宋体" w:cs="宋体"/>
          <w:color w:val="auto"/>
          <w:highlight w:val="none"/>
        </w:rPr>
        <w:t>时我方通过“信用中国”网站（www.creditchina.gov.cn）获取的我方信用信息查询结果</w:t>
      </w:r>
      <w:r>
        <w:rPr>
          <w:rFonts w:hint="eastAsia" w:ascii="宋体" w:hAnsi="宋体" w:cs="宋体"/>
          <w:color w:val="auto"/>
          <w:highlight w:val="none"/>
          <w:u w:val="single"/>
        </w:rPr>
        <w:t>（填写具体份数）</w:t>
      </w:r>
      <w:r>
        <w:rPr>
          <w:rFonts w:hint="eastAsia" w:ascii="宋体" w:hAnsi="宋体" w:cs="宋体"/>
          <w:color w:val="auto"/>
          <w:highlight w:val="none"/>
        </w:rPr>
        <w:t>份、通过中国政府招标网（www.ccgp.gov.cn）获取的我方信用信息查询结果</w:t>
      </w:r>
      <w:r>
        <w:rPr>
          <w:rFonts w:hint="eastAsia" w:ascii="宋体" w:hAnsi="宋体" w:cs="宋体"/>
          <w:color w:val="auto"/>
          <w:highlight w:val="none"/>
          <w:u w:val="single"/>
        </w:rPr>
        <w:t>（填写具体份数）</w:t>
      </w:r>
      <w:r>
        <w:rPr>
          <w:rFonts w:hint="eastAsia" w:ascii="宋体" w:hAnsi="宋体" w:cs="宋体"/>
          <w:color w:val="auto"/>
          <w:highlight w:val="none"/>
        </w:rPr>
        <w:t>份，上述信用信息查询结果真实有效，否则我方负全部责任。</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★注意：</w:t>
      </w:r>
    </w:p>
    <w:p>
      <w:pPr>
        <w:pStyle w:val="11"/>
        <w:widowControl/>
        <w:spacing w:before="75" w:beforeAutospacing="0" w:after="75" w:afterAutospacing="0" w:line="435" w:lineRule="atLeast"/>
        <w:rPr>
          <w:color w:val="auto"/>
          <w:highlight w:val="none"/>
        </w:rPr>
      </w:pPr>
      <w:r>
        <w:rPr>
          <w:rFonts w:hint="eastAsia" w:ascii="宋体" w:hAnsi="宋体" w:cs="宋体"/>
          <w:color w:val="auto"/>
          <w:sz w:val="21"/>
          <w:szCs w:val="21"/>
          <w:highlight w:val="none"/>
        </w:rPr>
        <w:t>1、</w:t>
      </w:r>
      <w:r>
        <w:rPr>
          <w:rFonts w:hint="eastAsia" w:ascii="宋体" w:hAnsi="宋体" w:cs="宋体"/>
          <w:color w:val="auto"/>
          <w:highlight w:val="none"/>
        </w:rPr>
        <w:t>供应商应</w:t>
      </w:r>
      <w:r>
        <w:rPr>
          <w:rStyle w:val="15"/>
          <w:rFonts w:hint="eastAsia" w:ascii="宋体" w:hAnsi="宋体" w:cs="宋体"/>
          <w:b w:val="0"/>
          <w:color w:val="auto"/>
          <w:highlight w:val="none"/>
        </w:rPr>
        <w:t>同时提供</w:t>
      </w:r>
      <w:r>
        <w:rPr>
          <w:rFonts w:hint="eastAsia" w:ascii="宋体" w:hAnsi="宋体" w:cs="宋体"/>
          <w:color w:val="auto"/>
          <w:highlight w:val="none"/>
        </w:rPr>
        <w:t>在磋商文件要求的首次响应文件递交截止时点前通过上述2个网站获取的信用信息查询结果，信用信息查询结果应为从上述网站获取的查询结果原始页面的打印件或完整截图，</w:t>
      </w:r>
      <w:r>
        <w:rPr>
          <w:rStyle w:val="15"/>
          <w:rFonts w:hint="eastAsia" w:ascii="宋体" w:hAnsi="宋体" w:cs="宋体"/>
          <w:b w:val="0"/>
          <w:color w:val="auto"/>
          <w:highlight w:val="none"/>
        </w:rPr>
        <w:t>否则其响应文件将被否决。</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2、若本项目接受联合体响应磋商且供应商为联合体，则联合体各成员均应</w:t>
      </w:r>
      <w:r>
        <w:rPr>
          <w:rStyle w:val="15"/>
          <w:rFonts w:hint="eastAsia" w:ascii="宋体" w:hAnsi="宋体" w:cs="宋体"/>
          <w:b w:val="0"/>
          <w:color w:val="auto"/>
          <w:highlight w:val="none"/>
        </w:rPr>
        <w:t>同时提供</w:t>
      </w:r>
      <w:r>
        <w:rPr>
          <w:rFonts w:hint="eastAsia" w:ascii="宋体" w:hAnsi="宋体" w:cs="宋体"/>
          <w:color w:val="auto"/>
          <w:highlight w:val="none"/>
        </w:rPr>
        <w:t>在磋商文件要求的首次响应文件截止时点前通过上述2个网站获取的联合体各方的信用信息查询结果，信用信息查询结果应为从上述网站获取的查询结果原始页面的完整截图或打印件，否则其响应文件将被否决。</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3、联合体成员存在不良信用记录的，视同联合体存在不良信用记录，</w:t>
      </w:r>
      <w:r>
        <w:rPr>
          <w:rStyle w:val="15"/>
          <w:rFonts w:hint="eastAsia" w:ascii="宋体" w:hAnsi="宋体" w:cs="宋体"/>
          <w:b w:val="0"/>
          <w:color w:val="auto"/>
          <w:highlight w:val="none"/>
        </w:rPr>
        <w:t>其响应文件将被否决。</w:t>
      </w:r>
    </w:p>
    <w:p>
      <w:pPr>
        <w:pStyle w:val="11"/>
        <w:widowControl/>
        <w:spacing w:before="75" w:beforeAutospacing="0" w:after="75" w:afterAutospacing="0" w:line="435" w:lineRule="atLeast"/>
        <w:rPr>
          <w:color w:val="auto"/>
          <w:highlight w:val="none"/>
        </w:rPr>
      </w:pPr>
      <w:r>
        <w:rPr>
          <w:rStyle w:val="15"/>
          <w:rFonts w:hint="eastAsia" w:ascii="宋体" w:hAnsi="宋体" w:cs="宋体"/>
          <w:color w:val="auto"/>
          <w:highlight w:val="none"/>
        </w:rPr>
        <w:t>※除上述规定外，信用记录的其他有关规定（包括但不限于：信用信息的查询渠道及截止时点、查询记录和证据留存的具体方式、使用规则等内容）详见磋商文件第一章。 </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w:t>
      </w:r>
    </w:p>
    <w:p>
      <w:pPr>
        <w:pStyle w:val="11"/>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供应商代表：</w:t>
      </w:r>
      <w:r>
        <w:rPr>
          <w:rFonts w:hint="eastAsia" w:ascii="宋体" w:hAnsi="宋体" w:cs="宋体"/>
          <w:color w:val="auto"/>
          <w:highlight w:val="none"/>
          <w:u w:val="single"/>
        </w:rPr>
        <w:t>             （签字） </w:t>
      </w:r>
    </w:p>
    <w:p>
      <w:pPr>
        <w:pStyle w:val="11"/>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供应商名称：</w:t>
      </w:r>
      <w:r>
        <w:rPr>
          <w:rFonts w:hint="eastAsia" w:ascii="宋体" w:hAnsi="宋体" w:cs="宋体"/>
          <w:color w:val="auto"/>
          <w:highlight w:val="none"/>
          <w:u w:val="single"/>
        </w:rPr>
        <w:t>         （全称并加盖公章）  </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日  期： </w:t>
      </w:r>
      <w:r>
        <w:rPr>
          <w:rFonts w:hint="eastAsia" w:ascii="宋体" w:hAnsi="宋体" w:cs="宋体"/>
          <w:color w:val="auto"/>
          <w:highlight w:val="none"/>
          <w:u w:val="single"/>
        </w:rPr>
        <w:t>    </w:t>
      </w:r>
      <w:r>
        <w:rPr>
          <w:rFonts w:hint="eastAsia" w:ascii="宋体" w:hAnsi="宋体" w:cs="宋体"/>
          <w:color w:val="auto"/>
          <w:highlight w:val="none"/>
        </w:rPr>
        <w:t>年 </w:t>
      </w:r>
      <w:r>
        <w:rPr>
          <w:rFonts w:hint="eastAsia" w:ascii="宋体" w:hAnsi="宋体" w:cs="宋体"/>
          <w:color w:val="auto"/>
          <w:highlight w:val="none"/>
          <w:u w:val="single"/>
        </w:rPr>
        <w:t>   </w:t>
      </w:r>
      <w:r>
        <w:rPr>
          <w:rFonts w:hint="eastAsia" w:ascii="宋体" w:hAnsi="宋体" w:cs="宋体"/>
          <w:color w:val="auto"/>
          <w:highlight w:val="none"/>
        </w:rPr>
        <w:t>月 </w:t>
      </w:r>
      <w:r>
        <w:rPr>
          <w:rFonts w:hint="eastAsia" w:ascii="宋体" w:hAnsi="宋体" w:cs="宋体"/>
          <w:color w:val="auto"/>
          <w:highlight w:val="none"/>
          <w:u w:val="single"/>
        </w:rPr>
        <w:t>   </w:t>
      </w:r>
      <w:r>
        <w:rPr>
          <w:rFonts w:hint="eastAsia" w:ascii="宋体" w:hAnsi="宋体" w:cs="宋体"/>
          <w:color w:val="auto"/>
          <w:highlight w:val="none"/>
        </w:rPr>
        <w:t>日</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 </w:t>
      </w:r>
    </w:p>
    <w:p>
      <w:pPr>
        <w:pStyle w:val="11"/>
        <w:widowControl/>
        <w:spacing w:before="75" w:beforeAutospacing="0" w:after="75" w:afterAutospacing="0" w:line="435" w:lineRule="atLeast"/>
        <w:rPr>
          <w:rFonts w:hint="eastAsia" w:ascii="宋体" w:hAnsi="宋体" w:cs="宋体"/>
          <w:color w:val="auto"/>
          <w:highlight w:val="none"/>
        </w:rPr>
      </w:pPr>
    </w:p>
    <w:p>
      <w:pPr>
        <w:pStyle w:val="16"/>
        <w:jc w:val="center"/>
        <w:outlineLvl w:val="3"/>
        <w:rPr>
          <w:color w:val="auto"/>
          <w:highlight w:val="none"/>
        </w:rPr>
      </w:pPr>
      <w:r>
        <w:rPr>
          <w:rFonts w:ascii="宋体" w:hAnsi="宋体" w:cs="宋体"/>
          <w:color w:val="auto"/>
          <w:sz w:val="24"/>
          <w:szCs w:val="24"/>
          <w:highlight w:val="none"/>
        </w:rPr>
        <w:t>附件3-</w:t>
      </w:r>
      <w:r>
        <w:rPr>
          <w:rFonts w:ascii="宋体" w:hAnsi="宋体" w:cs="宋体"/>
          <w:color w:val="auto"/>
          <w:sz w:val="24"/>
          <w:szCs w:val="24"/>
          <w:highlight w:val="none"/>
          <w:lang w:eastAsia="zh-CN"/>
        </w:rPr>
        <w:t>6</w:t>
      </w:r>
      <w:r>
        <w:rPr>
          <w:rFonts w:ascii="宋体" w:hAnsi="宋体" w:cs="宋体"/>
          <w:color w:val="auto"/>
          <w:sz w:val="24"/>
          <w:szCs w:val="24"/>
          <w:highlight w:val="none"/>
        </w:rPr>
        <w:t>   </w:t>
      </w:r>
      <w:r>
        <w:rPr>
          <w:b/>
          <w:color w:val="auto"/>
          <w:sz w:val="24"/>
          <w:highlight w:val="none"/>
        </w:rPr>
        <w:t>联合体协议</w:t>
      </w:r>
    </w:p>
    <w:p>
      <w:pPr>
        <w:pStyle w:val="16"/>
        <w:jc w:val="center"/>
        <w:outlineLvl w:val="3"/>
        <w:rPr>
          <w:color w:val="auto"/>
          <w:highlight w:val="none"/>
        </w:rPr>
      </w:pPr>
      <w:r>
        <w:rPr>
          <w:b/>
          <w:color w:val="auto"/>
          <w:sz w:val="24"/>
          <w:highlight w:val="none"/>
        </w:rPr>
        <w:t>（接受联合体的项目使用）</w:t>
      </w:r>
    </w:p>
    <w:p>
      <w:pPr>
        <w:pStyle w:val="16"/>
        <w:ind w:firstLine="480"/>
        <w:rPr>
          <w:color w:val="auto"/>
          <w:highlight w:val="none"/>
        </w:rPr>
      </w:pPr>
      <w:r>
        <w:rPr>
          <w:color w:val="auto"/>
          <w:highlight w:val="none"/>
        </w:rPr>
        <w:t>致：</w:t>
      </w:r>
      <w:r>
        <w:rPr>
          <w:color w:val="auto"/>
          <w:highlight w:val="none"/>
          <w:u w:val="single"/>
        </w:rPr>
        <w:t>（采购人或采购代理机构）</w:t>
      </w:r>
    </w:p>
    <w:p>
      <w:pPr>
        <w:pStyle w:val="16"/>
        <w:ind w:firstLine="480"/>
        <w:rPr>
          <w:color w:val="auto"/>
          <w:highlight w:val="none"/>
        </w:rPr>
      </w:pPr>
      <w:r>
        <w:rPr>
          <w:color w:val="auto"/>
          <w:highlight w:val="none"/>
        </w:rPr>
        <w:t>兹有</w:t>
      </w:r>
      <w:r>
        <w:rPr>
          <w:color w:val="auto"/>
          <w:highlight w:val="none"/>
          <w:u w:val="single"/>
        </w:rPr>
        <w:t>（填写“联合体中各方的全称”，各方的全称之间请用“、”分割）</w:t>
      </w:r>
      <w:r>
        <w:rPr>
          <w:color w:val="auto"/>
          <w:highlight w:val="none"/>
        </w:rPr>
        <w:t>自愿组成联合体，共同参加</w:t>
      </w:r>
      <w:r>
        <w:rPr>
          <w:color w:val="auto"/>
          <w:highlight w:val="none"/>
          <w:u w:val="single"/>
        </w:rPr>
        <w:t>（填写“项目名称”）</w:t>
      </w:r>
      <w:r>
        <w:rPr>
          <w:color w:val="auto"/>
          <w:highlight w:val="none"/>
        </w:rPr>
        <w:t xml:space="preserve"> 项目（项目编号：</w:t>
      </w:r>
      <w:r>
        <w:rPr>
          <w:color w:val="auto"/>
          <w:highlight w:val="none"/>
          <w:u w:val="single"/>
        </w:rPr>
        <w:t>　　　　　　</w:t>
      </w:r>
      <w:r>
        <w:rPr>
          <w:color w:val="auto"/>
          <w:highlight w:val="none"/>
        </w:rPr>
        <w:t>）的响应磋商。现就联合体参加本项目响应磋商的有关事宜达成下列协议：</w:t>
      </w:r>
    </w:p>
    <w:p>
      <w:pPr>
        <w:pStyle w:val="16"/>
        <w:ind w:firstLine="480"/>
        <w:rPr>
          <w:color w:val="auto"/>
          <w:highlight w:val="none"/>
        </w:rPr>
      </w:pPr>
      <w:r>
        <w:rPr>
          <w:color w:val="auto"/>
          <w:highlight w:val="none"/>
        </w:rPr>
        <w:t>一、联合体各方应承担的工作和义务具体如下：</w:t>
      </w:r>
    </w:p>
    <w:p>
      <w:pPr>
        <w:pStyle w:val="16"/>
        <w:ind w:firstLine="480"/>
        <w:rPr>
          <w:color w:val="auto"/>
          <w:highlight w:val="none"/>
        </w:rPr>
      </w:pPr>
      <w:r>
        <w:rPr>
          <w:color w:val="auto"/>
          <w:highlight w:val="none"/>
        </w:rPr>
        <w:t>1、牵头方（全称）：</w:t>
      </w:r>
      <w:r>
        <w:rPr>
          <w:color w:val="auto"/>
          <w:highlight w:val="none"/>
          <w:u w:val="single"/>
        </w:rPr>
        <w:t xml:space="preserve">（填写“工作及义务的具体内容”） </w:t>
      </w:r>
      <w:r>
        <w:rPr>
          <w:color w:val="auto"/>
          <w:highlight w:val="none"/>
        </w:rPr>
        <w:t>；</w:t>
      </w:r>
    </w:p>
    <w:p>
      <w:pPr>
        <w:pStyle w:val="16"/>
        <w:ind w:firstLine="480"/>
        <w:rPr>
          <w:color w:val="auto"/>
          <w:highlight w:val="none"/>
        </w:rPr>
      </w:pPr>
      <w:r>
        <w:rPr>
          <w:color w:val="auto"/>
          <w:highlight w:val="none"/>
        </w:rPr>
        <w:t>2、成员方：</w:t>
      </w:r>
    </w:p>
    <w:p>
      <w:pPr>
        <w:pStyle w:val="16"/>
        <w:ind w:firstLine="480"/>
        <w:rPr>
          <w:color w:val="auto"/>
          <w:highlight w:val="none"/>
        </w:rPr>
      </w:pPr>
      <w:r>
        <w:rPr>
          <w:color w:val="auto"/>
          <w:highlight w:val="none"/>
        </w:rPr>
        <w:t>2.1（成员一的全称）：</w:t>
      </w:r>
      <w:r>
        <w:rPr>
          <w:color w:val="auto"/>
          <w:highlight w:val="none"/>
          <w:u w:val="single"/>
        </w:rPr>
        <w:t>（填写“工作及义务的具体内容”）</w:t>
      </w:r>
      <w:r>
        <w:rPr>
          <w:color w:val="auto"/>
          <w:highlight w:val="none"/>
        </w:rPr>
        <w:t xml:space="preserve"> ；</w:t>
      </w:r>
    </w:p>
    <w:p>
      <w:pPr>
        <w:pStyle w:val="16"/>
        <w:ind w:firstLine="480"/>
        <w:rPr>
          <w:color w:val="auto"/>
          <w:highlight w:val="none"/>
        </w:rPr>
      </w:pPr>
      <w:r>
        <w:rPr>
          <w:color w:val="auto"/>
          <w:highlight w:val="none"/>
        </w:rPr>
        <w:t>……</w:t>
      </w:r>
    </w:p>
    <w:p>
      <w:pPr>
        <w:pStyle w:val="16"/>
        <w:ind w:firstLine="480"/>
        <w:rPr>
          <w:color w:val="auto"/>
          <w:highlight w:val="none"/>
        </w:rPr>
      </w:pPr>
      <w:r>
        <w:rPr>
          <w:color w:val="auto"/>
          <w:highlight w:val="none"/>
        </w:rPr>
        <w:t>二、联合体各方的合同金额占比，具体如下：</w:t>
      </w:r>
    </w:p>
    <w:p>
      <w:pPr>
        <w:pStyle w:val="16"/>
        <w:ind w:firstLine="480"/>
        <w:rPr>
          <w:color w:val="auto"/>
          <w:highlight w:val="none"/>
        </w:rPr>
      </w:pPr>
      <w:r>
        <w:rPr>
          <w:color w:val="auto"/>
          <w:highlight w:val="none"/>
        </w:rPr>
        <w:t>1.牵头方（</w:t>
      </w:r>
      <w:r>
        <w:rPr>
          <w:color w:val="auto"/>
          <w:highlight w:val="none"/>
          <w:u w:val="single"/>
        </w:rPr>
        <w:t xml:space="preserve"> 全称</w:t>
      </w:r>
      <w:r>
        <w:rPr>
          <w:color w:val="auto"/>
          <w:highlight w:val="none"/>
        </w:rPr>
        <w:t xml:space="preserve"> ）的合同金额占合同总额的</w:t>
      </w:r>
      <w:r>
        <w:rPr>
          <w:color w:val="auto"/>
          <w:highlight w:val="none"/>
          <w:u w:val="single"/>
        </w:rPr>
        <w:t>　　</w:t>
      </w:r>
      <w:r>
        <w:rPr>
          <w:color w:val="auto"/>
          <w:highlight w:val="none"/>
        </w:rPr>
        <w:t>%；</w:t>
      </w:r>
    </w:p>
    <w:p>
      <w:pPr>
        <w:pStyle w:val="16"/>
        <w:ind w:firstLine="480"/>
        <w:rPr>
          <w:color w:val="auto"/>
          <w:highlight w:val="none"/>
        </w:rPr>
      </w:pPr>
      <w:r>
        <w:rPr>
          <w:color w:val="auto"/>
          <w:highlight w:val="none"/>
        </w:rPr>
        <w:t>2.成员方：</w:t>
      </w:r>
    </w:p>
    <w:p>
      <w:pPr>
        <w:pStyle w:val="16"/>
        <w:ind w:firstLine="480"/>
        <w:rPr>
          <w:color w:val="auto"/>
          <w:highlight w:val="none"/>
        </w:rPr>
      </w:pPr>
      <w:r>
        <w:rPr>
          <w:color w:val="auto"/>
          <w:highlight w:val="none"/>
        </w:rPr>
        <w:t>2.1（</w:t>
      </w:r>
      <w:r>
        <w:rPr>
          <w:color w:val="auto"/>
          <w:highlight w:val="none"/>
          <w:u w:val="single"/>
        </w:rPr>
        <w:t xml:space="preserve"> 成员1的全称 </w:t>
      </w:r>
      <w:r>
        <w:rPr>
          <w:color w:val="auto"/>
          <w:highlight w:val="none"/>
        </w:rPr>
        <w:t>）的合同金额占合同总额的</w:t>
      </w:r>
      <w:r>
        <w:rPr>
          <w:color w:val="auto"/>
          <w:highlight w:val="none"/>
          <w:u w:val="single"/>
        </w:rPr>
        <w:t>　　</w:t>
      </w:r>
      <w:r>
        <w:rPr>
          <w:color w:val="auto"/>
          <w:highlight w:val="none"/>
        </w:rPr>
        <w:t>%；</w:t>
      </w:r>
    </w:p>
    <w:p>
      <w:pPr>
        <w:pStyle w:val="16"/>
        <w:ind w:firstLine="480"/>
        <w:rPr>
          <w:color w:val="auto"/>
          <w:highlight w:val="none"/>
        </w:rPr>
      </w:pPr>
      <w:r>
        <w:rPr>
          <w:color w:val="auto"/>
          <w:highlight w:val="none"/>
        </w:rPr>
        <w:t>……</w:t>
      </w:r>
    </w:p>
    <w:p>
      <w:pPr>
        <w:pStyle w:val="16"/>
        <w:ind w:firstLine="480"/>
        <w:rPr>
          <w:color w:val="auto"/>
          <w:highlight w:val="none"/>
        </w:rPr>
      </w:pPr>
      <w:r>
        <w:rPr>
          <w:color w:val="auto"/>
          <w:highlight w:val="none"/>
        </w:rPr>
        <w:t>三、联合体各方约定：</w:t>
      </w:r>
    </w:p>
    <w:p>
      <w:pPr>
        <w:pStyle w:val="16"/>
        <w:ind w:firstLine="480"/>
        <w:rPr>
          <w:color w:val="auto"/>
          <w:highlight w:val="none"/>
        </w:rPr>
      </w:pPr>
      <w:r>
        <w:rPr>
          <w:color w:val="auto"/>
          <w:highlight w:val="none"/>
        </w:rPr>
        <w:t>1、由</w:t>
      </w:r>
      <w:r>
        <w:rPr>
          <w:color w:val="auto"/>
          <w:highlight w:val="none"/>
          <w:u w:val="single"/>
        </w:rPr>
        <w:t>（填写“牵头方的全称”）代表联合体办理参加本项目报价的有关事宜（包括但不限于：注册账号、派出供应商人代表、提交响应文件及参加开标、谈判、澄清等），在此过程中，供应商代表签字的一切文件和处理结果，联合体均予以认可并对此承担责任。</w:t>
      </w:r>
    </w:p>
    <w:p>
      <w:pPr>
        <w:pStyle w:val="16"/>
        <w:ind w:firstLine="480"/>
        <w:rPr>
          <w:color w:val="auto"/>
          <w:highlight w:val="none"/>
        </w:rPr>
      </w:pPr>
      <w:r>
        <w:rPr>
          <w:color w:val="auto"/>
          <w:highlight w:val="none"/>
        </w:rPr>
        <w:t>2、联合体各方约定由</w:t>
      </w:r>
      <w:r>
        <w:rPr>
          <w:color w:val="auto"/>
          <w:highlight w:val="none"/>
          <w:u w:val="single"/>
        </w:rPr>
        <w:t>（填写“牵头方的全称”）代表联合体办理磋商保证金事宜。</w:t>
      </w:r>
    </w:p>
    <w:p>
      <w:pPr>
        <w:pStyle w:val="16"/>
        <w:ind w:firstLine="480"/>
        <w:rPr>
          <w:color w:val="auto"/>
          <w:highlight w:val="none"/>
        </w:rPr>
      </w:pPr>
      <w:r>
        <w:rPr>
          <w:color w:val="auto"/>
          <w:highlight w:val="none"/>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16"/>
        <w:ind w:firstLine="480"/>
        <w:rPr>
          <w:color w:val="auto"/>
          <w:highlight w:val="none"/>
        </w:rPr>
      </w:pPr>
      <w:r>
        <w:rPr>
          <w:color w:val="auto"/>
          <w:highlight w:val="none"/>
        </w:rPr>
        <w:t>四、若中标，牵头方将代表联合体与采购人就合同签订事宜进行协商；若协商一致，则联合体各方将共同与采购人签订采购合同，并就采购合同约定的事项对采购人承担连带责任。</w:t>
      </w:r>
    </w:p>
    <w:p>
      <w:pPr>
        <w:pStyle w:val="16"/>
        <w:ind w:firstLine="480"/>
        <w:rPr>
          <w:color w:val="auto"/>
          <w:highlight w:val="none"/>
        </w:rPr>
      </w:pPr>
      <w:r>
        <w:rPr>
          <w:color w:val="auto"/>
          <w:highlight w:val="none"/>
        </w:rPr>
        <w:t>五、本协议自签署之日起生效，政府采购合同履行完毕后自动失效。</w:t>
      </w:r>
    </w:p>
    <w:p>
      <w:pPr>
        <w:pStyle w:val="16"/>
        <w:ind w:firstLine="480"/>
        <w:rPr>
          <w:color w:val="auto"/>
          <w:highlight w:val="none"/>
        </w:rPr>
      </w:pPr>
      <w:r>
        <w:rPr>
          <w:color w:val="auto"/>
          <w:highlight w:val="none"/>
        </w:rPr>
        <w:t>六、本协议一式</w:t>
      </w:r>
      <w:r>
        <w:rPr>
          <w:color w:val="auto"/>
          <w:highlight w:val="none"/>
          <w:u w:val="single"/>
        </w:rPr>
        <w:t>（填写具体份数）</w:t>
      </w:r>
      <w:r>
        <w:rPr>
          <w:color w:val="auto"/>
          <w:highlight w:val="none"/>
        </w:rPr>
        <w:t>份，联合体各方各执一份，响应文件中提交一份。</w:t>
      </w:r>
    </w:p>
    <w:p>
      <w:pPr>
        <w:pStyle w:val="16"/>
        <w:ind w:firstLine="480"/>
        <w:rPr>
          <w:color w:val="auto"/>
          <w:highlight w:val="none"/>
        </w:rPr>
      </w:pPr>
      <w:r>
        <w:rPr>
          <w:color w:val="auto"/>
          <w:highlight w:val="none"/>
        </w:rPr>
        <w:t>（以下无正文）</w:t>
      </w:r>
    </w:p>
    <w:p>
      <w:pPr>
        <w:pStyle w:val="16"/>
        <w:ind w:firstLine="480"/>
        <w:rPr>
          <w:color w:val="auto"/>
          <w:highlight w:val="none"/>
        </w:rPr>
      </w:pPr>
      <w:r>
        <w:rPr>
          <w:color w:val="auto"/>
          <w:highlight w:val="none"/>
        </w:rPr>
        <w:t>牵头方：</w:t>
      </w:r>
      <w:r>
        <w:rPr>
          <w:color w:val="auto"/>
          <w:highlight w:val="none"/>
          <w:u w:val="single"/>
        </w:rPr>
        <w:t>（全称并加盖单位公章）</w:t>
      </w:r>
    </w:p>
    <w:p>
      <w:pPr>
        <w:pStyle w:val="16"/>
        <w:ind w:firstLine="480"/>
        <w:rPr>
          <w:color w:val="auto"/>
          <w:highlight w:val="none"/>
        </w:rPr>
      </w:pPr>
      <w:r>
        <w:rPr>
          <w:color w:val="auto"/>
          <w:highlight w:val="none"/>
        </w:rPr>
        <w:t>法定代表人或其委托代理人：</w:t>
      </w:r>
      <w:r>
        <w:rPr>
          <w:color w:val="auto"/>
          <w:highlight w:val="none"/>
          <w:u w:val="single"/>
        </w:rPr>
        <w:t xml:space="preserve"> （签字或盖章）</w:t>
      </w:r>
    </w:p>
    <w:p>
      <w:pPr>
        <w:pStyle w:val="16"/>
        <w:ind w:firstLine="480"/>
        <w:rPr>
          <w:color w:val="auto"/>
          <w:highlight w:val="none"/>
        </w:rPr>
      </w:pPr>
      <w:r>
        <w:rPr>
          <w:color w:val="auto"/>
          <w:highlight w:val="none"/>
        </w:rPr>
        <w:t>成员一：</w:t>
      </w:r>
      <w:r>
        <w:rPr>
          <w:color w:val="auto"/>
          <w:highlight w:val="none"/>
          <w:u w:val="single"/>
        </w:rPr>
        <w:t>（全称并加盖成员一的单位公章）</w:t>
      </w:r>
    </w:p>
    <w:p>
      <w:pPr>
        <w:pStyle w:val="16"/>
        <w:ind w:firstLine="480"/>
        <w:rPr>
          <w:color w:val="auto"/>
          <w:highlight w:val="none"/>
        </w:rPr>
      </w:pPr>
      <w:r>
        <w:rPr>
          <w:color w:val="auto"/>
          <w:highlight w:val="none"/>
        </w:rPr>
        <w:t>法定代表人或其委托代理人：</w:t>
      </w:r>
      <w:r>
        <w:rPr>
          <w:color w:val="auto"/>
          <w:highlight w:val="none"/>
          <w:u w:val="single"/>
        </w:rPr>
        <w:t xml:space="preserve"> （签字或盖章）</w:t>
      </w:r>
    </w:p>
    <w:p>
      <w:pPr>
        <w:pStyle w:val="16"/>
        <w:ind w:firstLine="480"/>
        <w:rPr>
          <w:color w:val="auto"/>
          <w:highlight w:val="none"/>
        </w:rPr>
      </w:pPr>
      <w:r>
        <w:rPr>
          <w:color w:val="auto"/>
          <w:highlight w:val="none"/>
        </w:rPr>
        <w:t>……</w:t>
      </w:r>
    </w:p>
    <w:p>
      <w:pPr>
        <w:pStyle w:val="16"/>
        <w:ind w:firstLine="480"/>
        <w:rPr>
          <w:color w:val="auto"/>
          <w:highlight w:val="none"/>
        </w:rPr>
      </w:pPr>
      <w:r>
        <w:rPr>
          <w:color w:val="auto"/>
          <w:highlight w:val="none"/>
        </w:rPr>
        <w:t>成员**：</w:t>
      </w:r>
      <w:r>
        <w:rPr>
          <w:color w:val="auto"/>
          <w:highlight w:val="none"/>
          <w:u w:val="single"/>
        </w:rPr>
        <w:t>（全称并加盖成员**的单位公章）</w:t>
      </w:r>
    </w:p>
    <w:p>
      <w:pPr>
        <w:pStyle w:val="16"/>
        <w:ind w:firstLine="480"/>
        <w:rPr>
          <w:color w:val="auto"/>
          <w:highlight w:val="none"/>
        </w:rPr>
      </w:pPr>
      <w:r>
        <w:rPr>
          <w:color w:val="auto"/>
          <w:highlight w:val="none"/>
        </w:rPr>
        <w:t>法定代表人或其委托代理人：</w:t>
      </w:r>
      <w:r>
        <w:rPr>
          <w:color w:val="auto"/>
          <w:highlight w:val="none"/>
          <w:u w:val="single"/>
        </w:rPr>
        <w:t xml:space="preserve"> （签字或盖章）</w:t>
      </w:r>
    </w:p>
    <w:p>
      <w:pPr>
        <w:pStyle w:val="16"/>
        <w:ind w:firstLine="480"/>
        <w:jc w:val="right"/>
        <w:rPr>
          <w:color w:val="auto"/>
          <w:highlight w:val="none"/>
        </w:rPr>
      </w:pPr>
      <w:r>
        <w:rPr>
          <w:color w:val="auto"/>
          <w:highlight w:val="none"/>
        </w:rPr>
        <w:t>签署日期：</w:t>
      </w:r>
      <w:r>
        <w:rPr>
          <w:color w:val="auto"/>
          <w:highlight w:val="none"/>
          <w:u w:val="single"/>
        </w:rPr>
        <w:t>　　年　　月　　日</w:t>
      </w:r>
    </w:p>
    <w:p>
      <w:pPr>
        <w:pStyle w:val="16"/>
        <w:ind w:firstLine="480"/>
        <w:rPr>
          <w:color w:val="auto"/>
          <w:highlight w:val="none"/>
        </w:rPr>
      </w:pPr>
      <w:r>
        <w:rPr>
          <w:color w:val="auto"/>
          <w:highlight w:val="none"/>
        </w:rPr>
        <w:t>※注意：</w:t>
      </w:r>
    </w:p>
    <w:p>
      <w:pPr>
        <w:pStyle w:val="16"/>
        <w:ind w:firstLine="480"/>
        <w:rPr>
          <w:color w:val="auto"/>
          <w:highlight w:val="none"/>
        </w:rPr>
      </w:pPr>
      <w:r>
        <w:rPr>
          <w:color w:val="auto"/>
          <w:highlight w:val="none"/>
        </w:rPr>
        <w:t>1、磋商文件接受联合体报价且供应商为联合体的，供应商应提供本协议；否则无须提供。</w:t>
      </w:r>
    </w:p>
    <w:p>
      <w:pPr>
        <w:pStyle w:val="16"/>
        <w:ind w:firstLine="480"/>
        <w:rPr>
          <w:color w:val="auto"/>
          <w:highlight w:val="none"/>
        </w:rPr>
      </w:pPr>
      <w:r>
        <w:rPr>
          <w:color w:val="auto"/>
          <w:highlight w:val="none"/>
        </w:rPr>
        <w:t>2、本协议由委托代理人签字或盖章的，应按照本章载明的格式提供“单位授权书”。</w:t>
      </w:r>
    </w:p>
    <w:p>
      <w:pPr>
        <w:pStyle w:val="16"/>
        <w:ind w:firstLine="480"/>
        <w:rPr>
          <w:color w:val="auto"/>
          <w:highlight w:val="none"/>
        </w:rPr>
      </w:pPr>
      <w:r>
        <w:rPr>
          <w:color w:val="auto"/>
          <w:highlight w:val="none"/>
        </w:rPr>
        <w:t>3、在以联合体形式落实中小企业预留份额项目中，供应商除了要提供《中小企业声明函》，还需提供本协议。</w:t>
      </w:r>
    </w:p>
    <w:p>
      <w:pPr>
        <w:pStyle w:val="16"/>
        <w:ind w:firstLine="480"/>
        <w:rPr>
          <w:color w:val="auto"/>
          <w:highlight w:val="none"/>
        </w:rPr>
      </w:pPr>
      <w:r>
        <w:rPr>
          <w:color w:val="auto"/>
          <w:highlight w:val="none"/>
        </w:rPr>
        <w:t>4、在以联合体形式落实中小企业预留份额项目中，供应商除了要提供《中小企业声明函》，还需提供本协议。</w:t>
      </w:r>
    </w:p>
    <w:p>
      <w:pPr>
        <w:pStyle w:val="16"/>
        <w:jc w:val="center"/>
        <w:outlineLvl w:val="3"/>
        <w:rPr>
          <w:color w:val="auto"/>
          <w:highlight w:val="none"/>
        </w:rPr>
      </w:pPr>
      <w:r>
        <w:rPr>
          <w:b/>
          <w:color w:val="auto"/>
          <w:sz w:val="24"/>
          <w:highlight w:val="none"/>
        </w:rPr>
        <w:t>附件3-7 分包意向协议（若有）</w:t>
      </w:r>
    </w:p>
    <w:p>
      <w:pPr>
        <w:pStyle w:val="16"/>
        <w:ind w:firstLine="480"/>
        <w:rPr>
          <w:color w:val="auto"/>
          <w:highlight w:val="none"/>
        </w:rPr>
      </w:pPr>
      <w:r>
        <w:rPr>
          <w:color w:val="auto"/>
          <w:highlight w:val="none"/>
        </w:rPr>
        <w:t>甲方（总包方）：</w:t>
      </w:r>
      <w:r>
        <w:rPr>
          <w:color w:val="auto"/>
          <w:highlight w:val="none"/>
          <w:u w:val="single"/>
        </w:rPr>
        <w:t>　　　　　　　</w:t>
      </w:r>
      <w:r>
        <w:rPr>
          <w:color w:val="auto"/>
          <w:highlight w:val="none"/>
        </w:rPr>
        <w:t>（即本项目的供应商）</w:t>
      </w:r>
    </w:p>
    <w:p>
      <w:pPr>
        <w:pStyle w:val="16"/>
        <w:ind w:firstLine="480"/>
        <w:rPr>
          <w:color w:val="auto"/>
          <w:highlight w:val="none"/>
        </w:rPr>
      </w:pPr>
      <w:r>
        <w:rPr>
          <w:color w:val="auto"/>
          <w:highlight w:val="none"/>
        </w:rPr>
        <w:t>乙方（分包方）：</w:t>
      </w:r>
      <w:r>
        <w:rPr>
          <w:color w:val="auto"/>
          <w:highlight w:val="none"/>
          <w:u w:val="single"/>
        </w:rPr>
        <w:t>　　　　　　　</w:t>
      </w:r>
    </w:p>
    <w:p>
      <w:pPr>
        <w:pStyle w:val="16"/>
        <w:ind w:firstLine="480"/>
        <w:rPr>
          <w:color w:val="auto"/>
          <w:highlight w:val="none"/>
        </w:rPr>
      </w:pPr>
      <w:r>
        <w:rPr>
          <w:color w:val="auto"/>
          <w:highlight w:val="none"/>
        </w:rPr>
        <w:t>兹有甲方参加</w:t>
      </w:r>
      <w:r>
        <w:rPr>
          <w:color w:val="auto"/>
          <w:highlight w:val="none"/>
          <w:u w:val="single"/>
        </w:rPr>
        <w:t>（填写“项目名称”）</w:t>
      </w:r>
      <w:r>
        <w:rPr>
          <w:color w:val="auto"/>
          <w:highlight w:val="none"/>
        </w:rPr>
        <w:t xml:space="preserve"> 项目（项目编号：</w:t>
      </w:r>
      <w:r>
        <w:rPr>
          <w:color w:val="auto"/>
          <w:highlight w:val="none"/>
          <w:u w:val="single"/>
        </w:rPr>
        <w:t>　　　　　　　</w:t>
      </w:r>
      <w:r>
        <w:rPr>
          <w:color w:val="auto"/>
          <w:highlight w:val="none"/>
        </w:rPr>
        <w:t>）的政府采购活动。甲方期望将采购项目的部分采购标的分包给乙方完成，而乙方保证能够向甲方提供本协议项下的采购标的，甲、乙双方就合同分包的有关事宜达成下列协议：</w:t>
      </w:r>
    </w:p>
    <w:p>
      <w:pPr>
        <w:pStyle w:val="16"/>
        <w:ind w:firstLine="480"/>
        <w:rPr>
          <w:color w:val="auto"/>
          <w:highlight w:val="none"/>
        </w:rPr>
      </w:pPr>
      <w:r>
        <w:rPr>
          <w:color w:val="auto"/>
          <w:highlight w:val="none"/>
        </w:rPr>
        <w:t>一、分包标的</w:t>
      </w:r>
    </w:p>
    <w:p>
      <w:pPr>
        <w:pStyle w:val="16"/>
        <w:ind w:firstLine="480"/>
        <w:rPr>
          <w:color w:val="auto"/>
          <w:highlight w:val="none"/>
        </w:rPr>
      </w:pPr>
      <w:r>
        <w:rPr>
          <w:color w:val="auto"/>
          <w:highlight w:val="none"/>
          <w:u w:val="single"/>
        </w:rPr>
        <w:t>（根据双方的意向填写，可以是表格或文字描述）。</w:t>
      </w:r>
    </w:p>
    <w:p>
      <w:pPr>
        <w:pStyle w:val="16"/>
        <w:ind w:firstLine="480"/>
        <w:rPr>
          <w:color w:val="auto"/>
          <w:highlight w:val="none"/>
        </w:rPr>
      </w:pPr>
      <w:r>
        <w:rPr>
          <w:color w:val="auto"/>
          <w:highlight w:val="none"/>
        </w:rPr>
        <w:t>二、分包合同金额占比</w:t>
      </w:r>
    </w:p>
    <w:p>
      <w:pPr>
        <w:pStyle w:val="16"/>
        <w:ind w:firstLine="480"/>
        <w:rPr>
          <w:color w:val="auto"/>
          <w:highlight w:val="none"/>
        </w:rPr>
      </w:pPr>
      <w:r>
        <w:rPr>
          <w:color w:val="auto"/>
          <w:highlight w:val="none"/>
        </w:rPr>
        <w:t>分包合同价占报价总价的比例：</w:t>
      </w:r>
      <w:r>
        <w:rPr>
          <w:color w:val="auto"/>
          <w:highlight w:val="none"/>
          <w:u w:val="single"/>
        </w:rPr>
        <w:t>　　　　　</w:t>
      </w:r>
      <w:r>
        <w:rPr>
          <w:color w:val="auto"/>
          <w:highlight w:val="none"/>
        </w:rPr>
        <w:t>%</w:t>
      </w:r>
    </w:p>
    <w:p>
      <w:pPr>
        <w:pStyle w:val="16"/>
        <w:ind w:firstLine="480"/>
        <w:rPr>
          <w:color w:val="auto"/>
          <w:highlight w:val="none"/>
        </w:rPr>
      </w:pPr>
      <w:r>
        <w:rPr>
          <w:color w:val="auto"/>
          <w:highlight w:val="none"/>
        </w:rPr>
        <w:t>三、其他条款</w:t>
      </w:r>
    </w:p>
    <w:p>
      <w:pPr>
        <w:pStyle w:val="16"/>
        <w:ind w:firstLine="480"/>
        <w:rPr>
          <w:color w:val="auto"/>
          <w:highlight w:val="none"/>
        </w:rPr>
      </w:pPr>
      <w:r>
        <w:rPr>
          <w:color w:val="auto"/>
          <w:highlight w:val="none"/>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noWrap w:val="0"/>
            <w:vAlign w:val="top"/>
          </w:tcPr>
          <w:p>
            <w:pPr>
              <w:pStyle w:val="16"/>
              <w:rPr>
                <w:color w:val="auto"/>
                <w:highlight w:val="none"/>
              </w:rPr>
            </w:pPr>
            <w:r>
              <w:rPr>
                <w:color w:val="auto"/>
                <w:highlight w:val="none"/>
              </w:rPr>
              <w:t>甲方：</w:t>
            </w:r>
          </w:p>
        </w:tc>
        <w:tc>
          <w:tcPr>
            <w:tcW w:w="4153" w:type="dxa"/>
            <w:noWrap w:val="0"/>
            <w:vAlign w:val="top"/>
          </w:tcPr>
          <w:p>
            <w:pPr>
              <w:pStyle w:val="16"/>
              <w:rPr>
                <w:color w:val="auto"/>
                <w:highlight w:val="none"/>
              </w:rPr>
            </w:pPr>
            <w:r>
              <w:rPr>
                <w:color w:val="auto"/>
                <w:highlight w:val="none"/>
              </w:rP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noWrap w:val="0"/>
            <w:vAlign w:val="top"/>
          </w:tcPr>
          <w:p>
            <w:pPr>
              <w:pStyle w:val="16"/>
              <w:rPr>
                <w:color w:val="auto"/>
                <w:highlight w:val="none"/>
              </w:rPr>
            </w:pPr>
            <w:r>
              <w:rPr>
                <w:color w:val="auto"/>
                <w:highlight w:val="none"/>
              </w:rPr>
              <w:t>住所：</w:t>
            </w:r>
          </w:p>
        </w:tc>
        <w:tc>
          <w:tcPr>
            <w:tcW w:w="4153" w:type="dxa"/>
            <w:noWrap w:val="0"/>
            <w:vAlign w:val="top"/>
          </w:tcPr>
          <w:p>
            <w:pPr>
              <w:pStyle w:val="16"/>
              <w:rPr>
                <w:color w:val="auto"/>
                <w:highlight w:val="none"/>
              </w:rPr>
            </w:pPr>
            <w:r>
              <w:rPr>
                <w:color w:val="auto"/>
                <w:highlight w:val="none"/>
              </w:rP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noWrap w:val="0"/>
            <w:vAlign w:val="top"/>
          </w:tcPr>
          <w:p>
            <w:pPr>
              <w:pStyle w:val="16"/>
              <w:rPr>
                <w:color w:val="auto"/>
                <w:highlight w:val="none"/>
              </w:rPr>
            </w:pPr>
            <w:r>
              <w:rPr>
                <w:color w:val="auto"/>
                <w:highlight w:val="none"/>
              </w:rPr>
              <w:t>单位负责人或委托代理人：</w:t>
            </w:r>
          </w:p>
        </w:tc>
        <w:tc>
          <w:tcPr>
            <w:tcW w:w="4153" w:type="dxa"/>
            <w:noWrap w:val="0"/>
            <w:vAlign w:val="top"/>
          </w:tcPr>
          <w:p>
            <w:pPr>
              <w:pStyle w:val="16"/>
              <w:rPr>
                <w:color w:val="auto"/>
                <w:highlight w:val="none"/>
              </w:rPr>
            </w:pPr>
            <w:r>
              <w:rPr>
                <w:color w:val="auto"/>
                <w:highlight w:val="none"/>
              </w:rP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noWrap w:val="0"/>
            <w:vAlign w:val="top"/>
          </w:tcPr>
          <w:p>
            <w:pPr>
              <w:pStyle w:val="16"/>
              <w:rPr>
                <w:color w:val="auto"/>
                <w:highlight w:val="none"/>
              </w:rPr>
            </w:pPr>
            <w:r>
              <w:rPr>
                <w:color w:val="auto"/>
                <w:highlight w:val="none"/>
              </w:rPr>
              <w:t>联系方法：</w:t>
            </w:r>
          </w:p>
        </w:tc>
        <w:tc>
          <w:tcPr>
            <w:tcW w:w="4153" w:type="dxa"/>
            <w:noWrap w:val="0"/>
            <w:vAlign w:val="top"/>
          </w:tcPr>
          <w:p>
            <w:pPr>
              <w:pStyle w:val="16"/>
              <w:rPr>
                <w:color w:val="auto"/>
                <w:highlight w:val="none"/>
              </w:rPr>
            </w:pPr>
            <w:r>
              <w:rPr>
                <w:color w:val="auto"/>
                <w:highlight w:val="none"/>
              </w:rP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noWrap w:val="0"/>
            <w:vAlign w:val="top"/>
          </w:tcPr>
          <w:p>
            <w:pPr>
              <w:pStyle w:val="16"/>
              <w:rPr>
                <w:color w:val="auto"/>
                <w:highlight w:val="none"/>
              </w:rPr>
            </w:pPr>
            <w:r>
              <w:rPr>
                <w:color w:val="auto"/>
                <w:highlight w:val="none"/>
              </w:rPr>
              <w:t>开户银行：</w:t>
            </w:r>
          </w:p>
        </w:tc>
        <w:tc>
          <w:tcPr>
            <w:tcW w:w="4153" w:type="dxa"/>
            <w:noWrap w:val="0"/>
            <w:vAlign w:val="top"/>
          </w:tcPr>
          <w:p>
            <w:pPr>
              <w:pStyle w:val="16"/>
              <w:rPr>
                <w:color w:val="auto"/>
                <w:highlight w:val="none"/>
              </w:rPr>
            </w:pPr>
            <w:r>
              <w:rPr>
                <w:color w:val="auto"/>
                <w:highlight w:val="none"/>
              </w:rP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noWrap w:val="0"/>
            <w:vAlign w:val="top"/>
          </w:tcPr>
          <w:p>
            <w:pPr>
              <w:pStyle w:val="16"/>
              <w:rPr>
                <w:color w:val="auto"/>
                <w:highlight w:val="none"/>
              </w:rPr>
            </w:pPr>
            <w:r>
              <w:rPr>
                <w:color w:val="auto"/>
                <w:highlight w:val="none"/>
              </w:rPr>
              <w:t>账号：</w:t>
            </w:r>
          </w:p>
        </w:tc>
        <w:tc>
          <w:tcPr>
            <w:tcW w:w="4153" w:type="dxa"/>
            <w:noWrap w:val="0"/>
            <w:vAlign w:val="top"/>
          </w:tcPr>
          <w:p>
            <w:pPr>
              <w:pStyle w:val="16"/>
              <w:rPr>
                <w:color w:val="auto"/>
                <w:highlight w:val="none"/>
              </w:rPr>
            </w:pPr>
            <w:r>
              <w:rPr>
                <w:color w:val="auto"/>
                <w:highlight w:val="none"/>
              </w:rP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noWrap w:val="0"/>
            <w:vAlign w:val="top"/>
          </w:tcPr>
          <w:p>
            <w:pPr>
              <w:pStyle w:val="16"/>
              <w:jc w:val="right"/>
              <w:rPr>
                <w:color w:val="auto"/>
                <w:highlight w:val="none"/>
              </w:rPr>
            </w:pPr>
            <w:r>
              <w:rPr>
                <w:color w:val="auto"/>
                <w:highlight w:val="none"/>
              </w:rPr>
              <w:t>签订地点：</w:t>
            </w:r>
            <w:r>
              <w:rPr>
                <w:color w:val="auto"/>
                <w:highlight w:val="none"/>
                <w:u w:val="single"/>
              </w:rPr>
              <w:t>　　　　　　　　　　</w:t>
            </w:r>
          </w:p>
          <w:p>
            <w:pPr>
              <w:pStyle w:val="16"/>
              <w:jc w:val="right"/>
              <w:rPr>
                <w:color w:val="auto"/>
                <w:highlight w:val="none"/>
              </w:rPr>
            </w:pPr>
            <w:r>
              <w:rPr>
                <w:color w:val="auto"/>
                <w:highlight w:val="none"/>
              </w:rPr>
              <w:t>签约日期：</w:t>
            </w:r>
            <w:r>
              <w:rPr>
                <w:color w:val="auto"/>
                <w:highlight w:val="none"/>
                <w:u w:val="single"/>
              </w:rPr>
              <w:t>　　年　　月　　日</w:t>
            </w:r>
          </w:p>
        </w:tc>
      </w:tr>
    </w:tbl>
    <w:p>
      <w:pPr>
        <w:pStyle w:val="16"/>
        <w:ind w:firstLine="480"/>
        <w:rPr>
          <w:color w:val="auto"/>
          <w:highlight w:val="none"/>
        </w:rPr>
      </w:pPr>
      <w:r>
        <w:rPr>
          <w:color w:val="auto"/>
          <w:highlight w:val="none"/>
        </w:rPr>
        <w:t>※注意：</w:t>
      </w:r>
    </w:p>
    <w:p>
      <w:pPr>
        <w:pStyle w:val="16"/>
        <w:ind w:firstLine="480"/>
        <w:rPr>
          <w:color w:val="auto"/>
          <w:highlight w:val="none"/>
        </w:rPr>
      </w:pPr>
      <w:r>
        <w:rPr>
          <w:color w:val="auto"/>
          <w:highlight w:val="none"/>
        </w:rPr>
        <w:t>1.磋商文件接受合同分包且供应商拟将合同分包的，应提供本协议；否则无须提供。</w:t>
      </w:r>
    </w:p>
    <w:p>
      <w:pPr>
        <w:pStyle w:val="16"/>
        <w:ind w:firstLine="480"/>
        <w:rPr>
          <w:color w:val="auto"/>
          <w:highlight w:val="none"/>
        </w:rPr>
      </w:pPr>
      <w:r>
        <w:rPr>
          <w:color w:val="auto"/>
          <w:highlight w:val="none"/>
        </w:rPr>
        <w:t>2.本协议由委托代理人签字或盖章的，应按照本章载明的格式提供“单位授权书”。</w:t>
      </w:r>
    </w:p>
    <w:p>
      <w:pPr>
        <w:pStyle w:val="16"/>
        <w:ind w:firstLine="480"/>
        <w:rPr>
          <w:color w:val="auto"/>
          <w:highlight w:val="none"/>
        </w:rPr>
      </w:pPr>
      <w:r>
        <w:rPr>
          <w:color w:val="auto"/>
          <w:highlight w:val="none"/>
        </w:rPr>
        <w:t>3.在以合同分包形式落实中小企业预留份额项目中，供应商除了要提供《中小企业声明函》，还需提供本协议。</w:t>
      </w:r>
    </w:p>
    <w:p>
      <w:pPr>
        <w:pStyle w:val="16"/>
        <w:rPr>
          <w:rFonts w:hint="eastAsia" w:eastAsia="宋体"/>
          <w:color w:val="auto"/>
          <w:highlight w:val="none"/>
          <w:lang w:eastAsia="zh-CN"/>
        </w:rPr>
      </w:pPr>
      <w:r>
        <w:rPr>
          <w:color w:val="auto"/>
          <w:highlight w:val="none"/>
        </w:rPr>
        <w:t xml:space="preserve"> </w:t>
      </w:r>
    </w:p>
    <w:p>
      <w:pPr>
        <w:pStyle w:val="16"/>
        <w:rPr>
          <w:color w:val="auto"/>
          <w:highlight w:val="none"/>
        </w:rPr>
      </w:pPr>
      <w:r>
        <w:rPr>
          <w:color w:val="auto"/>
          <w:highlight w:val="none"/>
        </w:rPr>
        <w:br w:type="page"/>
      </w:r>
    </w:p>
    <w:p>
      <w:pPr>
        <w:pStyle w:val="16"/>
        <w:jc w:val="center"/>
        <w:outlineLvl w:val="3"/>
        <w:rPr>
          <w:color w:val="auto"/>
          <w:highlight w:val="none"/>
        </w:rPr>
      </w:pPr>
      <w:r>
        <w:rPr>
          <w:b/>
          <w:color w:val="auto"/>
          <w:sz w:val="24"/>
          <w:highlight w:val="none"/>
        </w:rPr>
        <w:t>附件3-8 其它资格证明文件</w:t>
      </w:r>
    </w:p>
    <w:p>
      <w:pPr>
        <w:pStyle w:val="16"/>
        <w:jc w:val="center"/>
        <w:outlineLvl w:val="3"/>
        <w:rPr>
          <w:color w:val="auto"/>
          <w:highlight w:val="none"/>
        </w:rPr>
      </w:pPr>
      <w:r>
        <w:rPr>
          <w:b/>
          <w:color w:val="auto"/>
          <w:sz w:val="24"/>
          <w:highlight w:val="none"/>
        </w:rPr>
        <w:t>（若有）</w:t>
      </w:r>
    </w:p>
    <w:p>
      <w:pPr>
        <w:pStyle w:val="16"/>
        <w:ind w:firstLine="480"/>
        <w:rPr>
          <w:color w:val="auto"/>
          <w:highlight w:val="none"/>
        </w:rPr>
      </w:pPr>
      <w:r>
        <w:rPr>
          <w:color w:val="auto"/>
          <w:highlight w:val="none"/>
        </w:rPr>
        <w:t>说明：1、采购人或采购代理机构可以根据项目的特点和需要，在磋商文件“供应商的资格”中特定资格条件，对其它资格证明文件进行具体规定，供应商应按照磋商文件要求，在此项下提供相关证明材料，并加盖供应商单位公章。</w:t>
      </w:r>
    </w:p>
    <w:p>
      <w:pPr>
        <w:pStyle w:val="16"/>
        <w:ind w:firstLine="480"/>
        <w:rPr>
          <w:rFonts w:hint="eastAsia" w:eastAsia="宋体"/>
          <w:color w:val="auto"/>
          <w:highlight w:val="none"/>
          <w:lang w:eastAsia="zh-CN"/>
        </w:rPr>
      </w:pPr>
      <w:r>
        <w:rPr>
          <w:color w:val="auto"/>
          <w:highlight w:val="none"/>
        </w:rPr>
        <w:t>2、若磋商文件规定接受联合体形式且供应商为联合体的，涉及联合体成员的其它资格证明文件在此处提供相关证明材料，并加盖供应商单位公章。</w:t>
      </w:r>
    </w:p>
    <w:p>
      <w:pPr>
        <w:pStyle w:val="16"/>
        <w:ind w:firstLine="480"/>
        <w:rPr>
          <w:rFonts w:hint="eastAsia" w:eastAsia="宋体"/>
          <w:color w:val="auto"/>
          <w:highlight w:val="none"/>
          <w:lang w:eastAsia="zh-CN"/>
        </w:rPr>
      </w:pPr>
    </w:p>
    <w:p>
      <w:pPr>
        <w:pStyle w:val="16"/>
        <w:ind w:firstLine="480"/>
        <w:rPr>
          <w:rFonts w:hint="eastAsia" w:eastAsia="宋体"/>
          <w:color w:val="auto"/>
          <w:highlight w:val="none"/>
          <w:lang w:eastAsia="zh-CN"/>
        </w:rPr>
      </w:pPr>
    </w:p>
    <w:p>
      <w:pPr>
        <w:pStyle w:val="16"/>
        <w:ind w:firstLine="480"/>
        <w:rPr>
          <w:color w:val="auto"/>
          <w:highlight w:val="none"/>
        </w:rPr>
      </w:pPr>
      <w:r>
        <w:rPr>
          <w:color w:val="auto"/>
          <w:highlight w:val="none"/>
        </w:rPr>
        <w:t>供应商代表</w:t>
      </w:r>
      <w:r>
        <w:rPr>
          <w:color w:val="auto"/>
          <w:highlight w:val="none"/>
          <w:u w:val="single"/>
        </w:rPr>
        <w:t>　　　　　（签字）</w:t>
      </w:r>
    </w:p>
    <w:p>
      <w:pPr>
        <w:pStyle w:val="16"/>
        <w:ind w:firstLine="480"/>
        <w:rPr>
          <w:color w:val="auto"/>
          <w:highlight w:val="none"/>
        </w:rPr>
      </w:pPr>
      <w:r>
        <w:rPr>
          <w:color w:val="auto"/>
          <w:highlight w:val="none"/>
        </w:rPr>
        <w:t>供应商名称</w:t>
      </w:r>
      <w:r>
        <w:rPr>
          <w:color w:val="auto"/>
          <w:highlight w:val="none"/>
          <w:u w:val="single"/>
        </w:rPr>
        <w:t>　　　　　（全称并加盖公章）</w:t>
      </w:r>
    </w:p>
    <w:p>
      <w:pPr>
        <w:pStyle w:val="16"/>
        <w:ind w:firstLine="480"/>
        <w:rPr>
          <w:color w:val="auto"/>
          <w:highlight w:val="none"/>
        </w:rPr>
      </w:pPr>
      <w:r>
        <w:rPr>
          <w:color w:val="auto"/>
          <w:highlight w:val="none"/>
        </w:rPr>
        <w:t>日期：</w:t>
      </w:r>
      <w:r>
        <w:rPr>
          <w:color w:val="auto"/>
          <w:highlight w:val="none"/>
          <w:u w:val="single"/>
        </w:rPr>
        <w:t>　　</w:t>
      </w:r>
      <w:r>
        <w:rPr>
          <w:color w:val="auto"/>
          <w:highlight w:val="none"/>
        </w:rPr>
        <w:t>年</w:t>
      </w:r>
      <w:r>
        <w:rPr>
          <w:color w:val="auto"/>
          <w:highlight w:val="none"/>
          <w:u w:val="single"/>
        </w:rPr>
        <w:t>　　</w:t>
      </w:r>
      <w:r>
        <w:rPr>
          <w:color w:val="auto"/>
          <w:highlight w:val="none"/>
        </w:rPr>
        <w:t>月</w:t>
      </w:r>
      <w:r>
        <w:rPr>
          <w:color w:val="auto"/>
          <w:highlight w:val="none"/>
          <w:u w:val="single"/>
        </w:rPr>
        <w:t>　　</w:t>
      </w:r>
      <w:r>
        <w:rPr>
          <w:color w:val="auto"/>
          <w:highlight w:val="none"/>
        </w:rPr>
        <w:t>日</w:t>
      </w:r>
    </w:p>
    <w:p>
      <w:pPr>
        <w:pStyle w:val="16"/>
        <w:rPr>
          <w:rFonts w:hint="eastAsia" w:eastAsia="宋体"/>
          <w:color w:val="auto"/>
          <w:highlight w:val="none"/>
          <w:lang w:eastAsia="zh-CN"/>
        </w:rPr>
      </w:pPr>
      <w:r>
        <w:rPr>
          <w:color w:val="auto"/>
          <w:highlight w:val="none"/>
        </w:rPr>
        <w:t xml:space="preserve"> </w:t>
      </w:r>
    </w:p>
    <w:p>
      <w:pPr>
        <w:pStyle w:val="16"/>
        <w:rPr>
          <w:color w:val="auto"/>
          <w:highlight w:val="none"/>
        </w:rPr>
      </w:pPr>
      <w:r>
        <w:rPr>
          <w:color w:val="auto"/>
          <w:highlight w:val="none"/>
        </w:rPr>
        <w:br w:type="page"/>
      </w:r>
    </w:p>
    <w:p>
      <w:pPr>
        <w:pStyle w:val="16"/>
        <w:jc w:val="center"/>
        <w:outlineLvl w:val="2"/>
        <w:rPr>
          <w:color w:val="auto"/>
          <w:highlight w:val="none"/>
        </w:rPr>
      </w:pPr>
      <w:r>
        <w:rPr>
          <w:b/>
          <w:color w:val="auto"/>
          <w:sz w:val="28"/>
          <w:highlight w:val="none"/>
        </w:rPr>
        <w:t>附件4 磋商保证金凭证</w:t>
      </w:r>
    </w:p>
    <w:p>
      <w:pPr>
        <w:pStyle w:val="16"/>
        <w:jc w:val="center"/>
        <w:outlineLvl w:val="3"/>
        <w:rPr>
          <w:color w:val="auto"/>
          <w:highlight w:val="none"/>
        </w:rPr>
      </w:pPr>
      <w:r>
        <w:rPr>
          <w:b/>
          <w:color w:val="auto"/>
          <w:sz w:val="24"/>
          <w:highlight w:val="none"/>
        </w:rPr>
        <w:t>编制说明</w:t>
      </w:r>
    </w:p>
    <w:p>
      <w:pPr>
        <w:pStyle w:val="16"/>
        <w:ind w:firstLine="480"/>
        <w:rPr>
          <w:color w:val="auto"/>
          <w:highlight w:val="none"/>
        </w:rPr>
      </w:pPr>
      <w:r>
        <w:rPr>
          <w:color w:val="auto"/>
          <w:highlight w:val="none"/>
        </w:rPr>
        <w:t>1、在此项下提交的“磋商保证金”材料可使用转账凭证复印件。</w:t>
      </w:r>
    </w:p>
    <w:p>
      <w:pPr>
        <w:pStyle w:val="11"/>
        <w:widowControl/>
        <w:spacing w:before="75" w:beforeAutospacing="0" w:after="75" w:afterAutospacing="0"/>
        <w:ind w:firstLine="480" w:firstLineChars="200"/>
        <w:rPr>
          <w:color w:val="auto"/>
          <w:highlight w:val="none"/>
        </w:rPr>
      </w:pPr>
      <w:r>
        <w:rPr>
          <w:color w:val="auto"/>
          <w:highlight w:val="none"/>
        </w:rPr>
        <w:t>2、磋商保证金是否已提交按照磋商文件规定执行。</w:t>
      </w:r>
      <w:r>
        <w:rPr>
          <w:rFonts w:hint="eastAsia" w:ascii="宋体" w:hAnsi="宋体" w:cs="宋体"/>
          <w:color w:val="auto"/>
          <w:sz w:val="21"/>
          <w:szCs w:val="21"/>
          <w:highlight w:val="none"/>
        </w:rPr>
        <w:br w:type="page"/>
      </w:r>
      <w:r>
        <w:rPr>
          <w:rFonts w:hint="eastAsia" w:ascii="宋体" w:hAnsi="宋体" w:cs="宋体"/>
          <w:color w:val="auto"/>
          <w:highlight w:val="none"/>
        </w:rPr>
        <w:t>附件5-1  </w:t>
      </w:r>
      <w:r>
        <w:rPr>
          <w:rStyle w:val="15"/>
          <w:rFonts w:hint="eastAsia" w:ascii="宋体" w:hAnsi="宋体" w:cs="宋体"/>
          <w:color w:val="auto"/>
          <w:highlight w:val="none"/>
        </w:rPr>
        <w:t>       技术和服务要求响应表</w:t>
      </w:r>
      <w:r>
        <w:rPr>
          <w:rFonts w:hint="eastAsia" w:ascii="宋体" w:hAnsi="宋体" w:cs="宋体"/>
          <w:color w:val="auto"/>
          <w:highlight w:val="none"/>
        </w:rPr>
        <w:t> </w:t>
      </w:r>
    </w:p>
    <w:p>
      <w:pPr>
        <w:pStyle w:val="11"/>
        <w:widowControl/>
        <w:spacing w:before="75" w:beforeAutospacing="0" w:after="75" w:afterAutospacing="0" w:line="375" w:lineRule="atLeast"/>
        <w:rPr>
          <w:color w:val="auto"/>
          <w:highlight w:val="none"/>
        </w:rPr>
      </w:pPr>
      <w:r>
        <w:rPr>
          <w:rFonts w:hint="eastAsia" w:ascii="宋体" w:hAnsi="宋体" w:cs="宋体"/>
          <w:color w:val="auto"/>
          <w:highlight w:val="none"/>
        </w:rPr>
        <w:t>供应商名称：</w:t>
      </w:r>
      <w:r>
        <w:rPr>
          <w:rFonts w:hint="eastAsia" w:ascii="宋体" w:hAnsi="宋体" w:cs="宋体"/>
          <w:color w:val="auto"/>
          <w:highlight w:val="none"/>
          <w:u w:val="single"/>
        </w:rPr>
        <w:t> （全称加盖单位公章）</w:t>
      </w:r>
      <w:r>
        <w:rPr>
          <w:rFonts w:hint="eastAsia" w:ascii="宋体" w:hAnsi="宋体" w:cs="宋体"/>
          <w:color w:val="auto"/>
          <w:highlight w:val="none"/>
        </w:rPr>
        <w:t>  项目编号∶</w:t>
      </w:r>
      <w:r>
        <w:rPr>
          <w:rFonts w:hint="eastAsia" w:ascii="宋体" w:hAnsi="宋体" w:cs="宋体"/>
          <w:color w:val="auto"/>
          <w:highlight w:val="none"/>
          <w:u w:val="single"/>
        </w:rPr>
        <w:t>       </w:t>
      </w:r>
    </w:p>
    <w:tbl>
      <w:tblPr>
        <w:tblStyle w:val="13"/>
        <w:tblW w:w="8877"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7" w:type="dxa"/>
          <w:left w:w="17" w:type="dxa"/>
          <w:bottom w:w="17" w:type="dxa"/>
          <w:right w:w="17" w:type="dxa"/>
        </w:tblCellMar>
      </w:tblPr>
      <w:tblGrid>
        <w:gridCol w:w="787"/>
        <w:gridCol w:w="1611"/>
        <w:gridCol w:w="2709"/>
        <w:gridCol w:w="2434"/>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900" w:hRule="atLeast"/>
        </w:trPr>
        <w:tc>
          <w:tcPr>
            <w:tcW w:w="787" w:type="dxa"/>
            <w:noWrap w:val="0"/>
            <w:tcMar>
              <w:top w:w="0" w:type="dxa"/>
              <w:left w:w="105" w:type="dxa"/>
              <w:bottom w:w="0" w:type="dxa"/>
              <w:right w:w="105" w:type="dxa"/>
            </w:tcMar>
            <w:vAlign w:val="center"/>
          </w:tcPr>
          <w:p>
            <w:pPr>
              <w:pStyle w:val="11"/>
              <w:widowControl/>
              <w:spacing w:before="0" w:beforeAutospacing="0" w:after="0" w:afterAutospacing="0" w:line="375" w:lineRule="atLeast"/>
              <w:rPr>
                <w:color w:val="auto"/>
                <w:sz w:val="21"/>
                <w:szCs w:val="21"/>
                <w:highlight w:val="none"/>
              </w:rPr>
            </w:pPr>
            <w:r>
              <w:rPr>
                <w:rFonts w:hint="eastAsia" w:ascii="宋体" w:hAnsi="宋体" w:cs="宋体"/>
                <w:color w:val="auto"/>
                <w:sz w:val="21"/>
                <w:szCs w:val="21"/>
                <w:highlight w:val="none"/>
              </w:rPr>
              <w:t>合同包</w:t>
            </w:r>
          </w:p>
        </w:tc>
        <w:tc>
          <w:tcPr>
            <w:tcW w:w="1611" w:type="dxa"/>
            <w:noWrap w:val="0"/>
            <w:tcMar>
              <w:top w:w="0" w:type="dxa"/>
              <w:left w:w="105" w:type="dxa"/>
              <w:bottom w:w="0" w:type="dxa"/>
              <w:right w:w="105" w:type="dxa"/>
            </w:tcMar>
            <w:vAlign w:val="center"/>
          </w:tcPr>
          <w:p>
            <w:pPr>
              <w:pStyle w:val="11"/>
              <w:widowControl/>
              <w:spacing w:before="0" w:beforeAutospacing="0" w:after="0" w:afterAutospacing="0" w:line="375" w:lineRule="atLeast"/>
              <w:rPr>
                <w:color w:val="auto"/>
                <w:sz w:val="21"/>
                <w:szCs w:val="21"/>
                <w:highlight w:val="none"/>
              </w:rPr>
            </w:pPr>
            <w:r>
              <w:rPr>
                <w:rFonts w:hint="eastAsia" w:ascii="宋体" w:hAnsi="宋体" w:cs="宋体"/>
                <w:color w:val="auto"/>
                <w:sz w:val="21"/>
                <w:szCs w:val="21"/>
                <w:highlight w:val="none"/>
              </w:rPr>
              <w:t>章节条目号</w:t>
            </w:r>
          </w:p>
        </w:tc>
        <w:tc>
          <w:tcPr>
            <w:tcW w:w="2709" w:type="dxa"/>
            <w:noWrap w:val="0"/>
            <w:tcMar>
              <w:top w:w="0" w:type="dxa"/>
              <w:left w:w="105" w:type="dxa"/>
              <w:bottom w:w="0" w:type="dxa"/>
              <w:right w:w="105" w:type="dxa"/>
            </w:tcMar>
            <w:vAlign w:val="center"/>
          </w:tcPr>
          <w:p>
            <w:pPr>
              <w:pStyle w:val="11"/>
              <w:widowControl/>
              <w:spacing w:before="0" w:beforeAutospacing="0" w:after="0" w:afterAutospacing="0" w:line="375" w:lineRule="atLeast"/>
              <w:rPr>
                <w:color w:val="auto"/>
                <w:sz w:val="21"/>
                <w:szCs w:val="21"/>
                <w:highlight w:val="none"/>
              </w:rPr>
            </w:pPr>
            <w:r>
              <w:rPr>
                <w:rFonts w:hint="eastAsia" w:ascii="宋体" w:hAnsi="宋体" w:cs="宋体"/>
                <w:color w:val="auto"/>
                <w:sz w:val="21"/>
                <w:szCs w:val="21"/>
                <w:highlight w:val="none"/>
              </w:rPr>
              <w:t>竞争性磋商文件规定的技术和服务要求</w:t>
            </w:r>
          </w:p>
        </w:tc>
        <w:tc>
          <w:tcPr>
            <w:tcW w:w="2434" w:type="dxa"/>
            <w:noWrap w:val="0"/>
            <w:tcMar>
              <w:top w:w="0" w:type="dxa"/>
              <w:left w:w="105" w:type="dxa"/>
              <w:bottom w:w="0" w:type="dxa"/>
              <w:right w:w="105" w:type="dxa"/>
            </w:tcMar>
            <w:vAlign w:val="center"/>
          </w:tcPr>
          <w:p>
            <w:pPr>
              <w:pStyle w:val="11"/>
              <w:widowControl/>
              <w:spacing w:before="0" w:beforeAutospacing="0" w:after="0" w:afterAutospacing="0" w:line="375" w:lineRule="atLeast"/>
              <w:rPr>
                <w:color w:val="auto"/>
                <w:sz w:val="21"/>
                <w:szCs w:val="21"/>
                <w:highlight w:val="none"/>
              </w:rPr>
            </w:pPr>
            <w:r>
              <w:rPr>
                <w:rFonts w:hint="eastAsia" w:ascii="宋体" w:hAnsi="宋体" w:cs="宋体"/>
                <w:color w:val="auto"/>
                <w:sz w:val="21"/>
                <w:szCs w:val="21"/>
                <w:highlight w:val="none"/>
              </w:rPr>
              <w:t>响应文件响应承诺</w:t>
            </w:r>
          </w:p>
        </w:tc>
        <w:tc>
          <w:tcPr>
            <w:tcW w:w="1336" w:type="dxa"/>
            <w:noWrap w:val="0"/>
            <w:tcMar>
              <w:top w:w="0" w:type="dxa"/>
              <w:left w:w="105" w:type="dxa"/>
              <w:bottom w:w="0" w:type="dxa"/>
              <w:right w:w="105" w:type="dxa"/>
            </w:tcMar>
            <w:vAlign w:val="center"/>
          </w:tcPr>
          <w:p>
            <w:pPr>
              <w:pStyle w:val="11"/>
              <w:widowControl/>
              <w:spacing w:before="0" w:beforeAutospacing="0" w:after="0" w:afterAutospacing="0" w:line="375" w:lineRule="atLeast"/>
              <w:rPr>
                <w:color w:val="auto"/>
                <w:sz w:val="21"/>
                <w:szCs w:val="21"/>
                <w:highlight w:val="none"/>
              </w:rPr>
            </w:pPr>
            <w:r>
              <w:rPr>
                <w:rFonts w:hint="eastAsia" w:ascii="宋体" w:hAnsi="宋体" w:cs="宋体"/>
                <w:color w:val="auto"/>
                <w:sz w:val="21"/>
                <w:szCs w:val="21"/>
                <w:highlight w:val="none"/>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523" w:hRule="atLeast"/>
        </w:trPr>
        <w:tc>
          <w:tcPr>
            <w:tcW w:w="787" w:type="dxa"/>
            <w:noWrap w:val="0"/>
            <w:tcMar>
              <w:top w:w="0" w:type="dxa"/>
              <w:left w:w="105" w:type="dxa"/>
              <w:bottom w:w="0" w:type="dxa"/>
              <w:right w:w="105" w:type="dxa"/>
            </w:tcMar>
            <w:vAlign w:val="center"/>
          </w:tcPr>
          <w:p>
            <w:pPr>
              <w:widowControl/>
              <w:jc w:val="left"/>
              <w:rPr>
                <w:color w:val="auto"/>
                <w:szCs w:val="21"/>
                <w:highlight w:val="none"/>
              </w:rPr>
            </w:pPr>
          </w:p>
        </w:tc>
        <w:tc>
          <w:tcPr>
            <w:tcW w:w="1611" w:type="dxa"/>
            <w:noWrap w:val="0"/>
            <w:tcMar>
              <w:top w:w="0" w:type="dxa"/>
              <w:left w:w="105" w:type="dxa"/>
              <w:bottom w:w="0" w:type="dxa"/>
              <w:right w:w="105" w:type="dxa"/>
            </w:tcMar>
            <w:vAlign w:val="center"/>
          </w:tcPr>
          <w:p>
            <w:pPr>
              <w:widowControl/>
              <w:jc w:val="left"/>
              <w:rPr>
                <w:color w:val="auto"/>
                <w:szCs w:val="21"/>
                <w:highlight w:val="none"/>
              </w:rPr>
            </w:pPr>
          </w:p>
        </w:tc>
        <w:tc>
          <w:tcPr>
            <w:tcW w:w="2709" w:type="dxa"/>
            <w:noWrap w:val="0"/>
            <w:tcMar>
              <w:top w:w="0" w:type="dxa"/>
              <w:left w:w="105" w:type="dxa"/>
              <w:bottom w:w="0" w:type="dxa"/>
              <w:right w:w="105" w:type="dxa"/>
            </w:tcMar>
            <w:vAlign w:val="center"/>
          </w:tcPr>
          <w:p>
            <w:pPr>
              <w:widowControl/>
              <w:jc w:val="left"/>
              <w:rPr>
                <w:color w:val="auto"/>
                <w:szCs w:val="21"/>
                <w:highlight w:val="none"/>
              </w:rPr>
            </w:pPr>
          </w:p>
        </w:tc>
        <w:tc>
          <w:tcPr>
            <w:tcW w:w="2434" w:type="dxa"/>
            <w:noWrap w:val="0"/>
            <w:tcMar>
              <w:top w:w="0" w:type="dxa"/>
              <w:left w:w="105" w:type="dxa"/>
              <w:bottom w:w="0" w:type="dxa"/>
              <w:right w:w="105" w:type="dxa"/>
            </w:tcMar>
            <w:vAlign w:val="center"/>
          </w:tcPr>
          <w:p>
            <w:pPr>
              <w:widowControl/>
              <w:jc w:val="left"/>
              <w:rPr>
                <w:color w:val="auto"/>
                <w:szCs w:val="21"/>
                <w:highlight w:val="none"/>
              </w:rPr>
            </w:pPr>
          </w:p>
        </w:tc>
        <w:tc>
          <w:tcPr>
            <w:tcW w:w="1336" w:type="dxa"/>
            <w:noWrap w:val="0"/>
            <w:tcMar>
              <w:top w:w="0" w:type="dxa"/>
              <w:left w:w="105" w:type="dxa"/>
              <w:bottom w:w="0" w:type="dxa"/>
              <w:right w:w="105" w:type="dxa"/>
            </w:tcMar>
            <w:vAlign w:val="center"/>
          </w:tcPr>
          <w:p>
            <w:pPr>
              <w:widowControl/>
              <w:jc w:val="lef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523" w:hRule="atLeast"/>
        </w:trPr>
        <w:tc>
          <w:tcPr>
            <w:tcW w:w="787" w:type="dxa"/>
            <w:noWrap w:val="0"/>
            <w:tcMar>
              <w:top w:w="0" w:type="dxa"/>
              <w:left w:w="105" w:type="dxa"/>
              <w:bottom w:w="0" w:type="dxa"/>
              <w:right w:w="105" w:type="dxa"/>
            </w:tcMar>
            <w:vAlign w:val="center"/>
          </w:tcPr>
          <w:p>
            <w:pPr>
              <w:widowControl/>
              <w:jc w:val="left"/>
              <w:rPr>
                <w:color w:val="auto"/>
                <w:szCs w:val="21"/>
                <w:highlight w:val="none"/>
              </w:rPr>
            </w:pPr>
          </w:p>
        </w:tc>
        <w:tc>
          <w:tcPr>
            <w:tcW w:w="1611" w:type="dxa"/>
            <w:noWrap w:val="0"/>
            <w:tcMar>
              <w:top w:w="0" w:type="dxa"/>
              <w:left w:w="105" w:type="dxa"/>
              <w:bottom w:w="0" w:type="dxa"/>
              <w:right w:w="105" w:type="dxa"/>
            </w:tcMar>
            <w:vAlign w:val="center"/>
          </w:tcPr>
          <w:p>
            <w:pPr>
              <w:widowControl/>
              <w:jc w:val="left"/>
              <w:rPr>
                <w:color w:val="auto"/>
                <w:szCs w:val="21"/>
                <w:highlight w:val="none"/>
              </w:rPr>
            </w:pPr>
          </w:p>
        </w:tc>
        <w:tc>
          <w:tcPr>
            <w:tcW w:w="2709" w:type="dxa"/>
            <w:noWrap w:val="0"/>
            <w:tcMar>
              <w:top w:w="0" w:type="dxa"/>
              <w:left w:w="105" w:type="dxa"/>
              <w:bottom w:w="0" w:type="dxa"/>
              <w:right w:w="105" w:type="dxa"/>
            </w:tcMar>
            <w:vAlign w:val="center"/>
          </w:tcPr>
          <w:p>
            <w:pPr>
              <w:widowControl/>
              <w:jc w:val="left"/>
              <w:rPr>
                <w:color w:val="auto"/>
                <w:szCs w:val="21"/>
                <w:highlight w:val="none"/>
              </w:rPr>
            </w:pPr>
          </w:p>
        </w:tc>
        <w:tc>
          <w:tcPr>
            <w:tcW w:w="2434" w:type="dxa"/>
            <w:noWrap w:val="0"/>
            <w:tcMar>
              <w:top w:w="0" w:type="dxa"/>
              <w:left w:w="105" w:type="dxa"/>
              <w:bottom w:w="0" w:type="dxa"/>
              <w:right w:w="105" w:type="dxa"/>
            </w:tcMar>
            <w:vAlign w:val="center"/>
          </w:tcPr>
          <w:p>
            <w:pPr>
              <w:widowControl/>
              <w:jc w:val="left"/>
              <w:rPr>
                <w:color w:val="auto"/>
                <w:szCs w:val="21"/>
                <w:highlight w:val="none"/>
              </w:rPr>
            </w:pPr>
          </w:p>
        </w:tc>
        <w:tc>
          <w:tcPr>
            <w:tcW w:w="1336" w:type="dxa"/>
            <w:noWrap w:val="0"/>
            <w:tcMar>
              <w:top w:w="0" w:type="dxa"/>
              <w:left w:w="105" w:type="dxa"/>
              <w:bottom w:w="0" w:type="dxa"/>
              <w:right w:w="105" w:type="dxa"/>
            </w:tcMar>
            <w:vAlign w:val="center"/>
          </w:tcPr>
          <w:p>
            <w:pPr>
              <w:widowControl/>
              <w:jc w:val="lef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523" w:hRule="atLeast"/>
        </w:trPr>
        <w:tc>
          <w:tcPr>
            <w:tcW w:w="787" w:type="dxa"/>
            <w:noWrap w:val="0"/>
            <w:tcMar>
              <w:top w:w="0" w:type="dxa"/>
              <w:left w:w="105" w:type="dxa"/>
              <w:bottom w:w="0" w:type="dxa"/>
              <w:right w:w="105" w:type="dxa"/>
            </w:tcMar>
            <w:vAlign w:val="center"/>
          </w:tcPr>
          <w:p>
            <w:pPr>
              <w:widowControl/>
              <w:jc w:val="left"/>
              <w:rPr>
                <w:color w:val="auto"/>
                <w:szCs w:val="21"/>
                <w:highlight w:val="none"/>
              </w:rPr>
            </w:pPr>
          </w:p>
        </w:tc>
        <w:tc>
          <w:tcPr>
            <w:tcW w:w="1611" w:type="dxa"/>
            <w:noWrap w:val="0"/>
            <w:tcMar>
              <w:top w:w="0" w:type="dxa"/>
              <w:left w:w="105" w:type="dxa"/>
              <w:bottom w:w="0" w:type="dxa"/>
              <w:right w:w="105" w:type="dxa"/>
            </w:tcMar>
            <w:vAlign w:val="center"/>
          </w:tcPr>
          <w:p>
            <w:pPr>
              <w:widowControl/>
              <w:jc w:val="left"/>
              <w:rPr>
                <w:color w:val="auto"/>
                <w:szCs w:val="21"/>
                <w:highlight w:val="none"/>
              </w:rPr>
            </w:pPr>
          </w:p>
        </w:tc>
        <w:tc>
          <w:tcPr>
            <w:tcW w:w="2709" w:type="dxa"/>
            <w:noWrap w:val="0"/>
            <w:tcMar>
              <w:top w:w="0" w:type="dxa"/>
              <w:left w:w="105" w:type="dxa"/>
              <w:bottom w:w="0" w:type="dxa"/>
              <w:right w:w="105" w:type="dxa"/>
            </w:tcMar>
            <w:vAlign w:val="center"/>
          </w:tcPr>
          <w:p>
            <w:pPr>
              <w:widowControl/>
              <w:jc w:val="left"/>
              <w:rPr>
                <w:color w:val="auto"/>
                <w:szCs w:val="21"/>
                <w:highlight w:val="none"/>
              </w:rPr>
            </w:pPr>
          </w:p>
        </w:tc>
        <w:tc>
          <w:tcPr>
            <w:tcW w:w="2434" w:type="dxa"/>
            <w:noWrap w:val="0"/>
            <w:tcMar>
              <w:top w:w="0" w:type="dxa"/>
              <w:left w:w="105" w:type="dxa"/>
              <w:bottom w:w="0" w:type="dxa"/>
              <w:right w:w="105" w:type="dxa"/>
            </w:tcMar>
            <w:vAlign w:val="center"/>
          </w:tcPr>
          <w:p>
            <w:pPr>
              <w:widowControl/>
              <w:jc w:val="left"/>
              <w:rPr>
                <w:color w:val="auto"/>
                <w:szCs w:val="21"/>
                <w:highlight w:val="none"/>
              </w:rPr>
            </w:pPr>
          </w:p>
        </w:tc>
        <w:tc>
          <w:tcPr>
            <w:tcW w:w="1336" w:type="dxa"/>
            <w:noWrap w:val="0"/>
            <w:tcMar>
              <w:top w:w="0" w:type="dxa"/>
              <w:left w:w="105" w:type="dxa"/>
              <w:bottom w:w="0" w:type="dxa"/>
              <w:right w:w="105" w:type="dxa"/>
            </w:tcMar>
            <w:vAlign w:val="center"/>
          </w:tcPr>
          <w:p>
            <w:pPr>
              <w:widowControl/>
              <w:jc w:val="lef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523" w:hRule="atLeast"/>
        </w:trPr>
        <w:tc>
          <w:tcPr>
            <w:tcW w:w="787" w:type="dxa"/>
            <w:noWrap w:val="0"/>
            <w:tcMar>
              <w:top w:w="0" w:type="dxa"/>
              <w:left w:w="105" w:type="dxa"/>
              <w:bottom w:w="0" w:type="dxa"/>
              <w:right w:w="105" w:type="dxa"/>
            </w:tcMar>
            <w:vAlign w:val="center"/>
          </w:tcPr>
          <w:p>
            <w:pPr>
              <w:widowControl/>
              <w:jc w:val="left"/>
              <w:rPr>
                <w:color w:val="auto"/>
                <w:szCs w:val="21"/>
                <w:highlight w:val="none"/>
              </w:rPr>
            </w:pPr>
          </w:p>
        </w:tc>
        <w:tc>
          <w:tcPr>
            <w:tcW w:w="1611" w:type="dxa"/>
            <w:noWrap w:val="0"/>
            <w:tcMar>
              <w:top w:w="0" w:type="dxa"/>
              <w:left w:w="105" w:type="dxa"/>
              <w:bottom w:w="0" w:type="dxa"/>
              <w:right w:w="105" w:type="dxa"/>
            </w:tcMar>
            <w:vAlign w:val="center"/>
          </w:tcPr>
          <w:p>
            <w:pPr>
              <w:widowControl/>
              <w:jc w:val="left"/>
              <w:rPr>
                <w:color w:val="auto"/>
                <w:szCs w:val="21"/>
                <w:highlight w:val="none"/>
              </w:rPr>
            </w:pPr>
          </w:p>
        </w:tc>
        <w:tc>
          <w:tcPr>
            <w:tcW w:w="2709" w:type="dxa"/>
            <w:noWrap w:val="0"/>
            <w:tcMar>
              <w:top w:w="0" w:type="dxa"/>
              <w:left w:w="105" w:type="dxa"/>
              <w:bottom w:w="0" w:type="dxa"/>
              <w:right w:w="105" w:type="dxa"/>
            </w:tcMar>
            <w:vAlign w:val="center"/>
          </w:tcPr>
          <w:p>
            <w:pPr>
              <w:widowControl/>
              <w:jc w:val="left"/>
              <w:rPr>
                <w:color w:val="auto"/>
                <w:szCs w:val="21"/>
                <w:highlight w:val="none"/>
              </w:rPr>
            </w:pPr>
          </w:p>
        </w:tc>
        <w:tc>
          <w:tcPr>
            <w:tcW w:w="2434" w:type="dxa"/>
            <w:noWrap w:val="0"/>
            <w:tcMar>
              <w:top w:w="0" w:type="dxa"/>
              <w:left w:w="105" w:type="dxa"/>
              <w:bottom w:w="0" w:type="dxa"/>
              <w:right w:w="105" w:type="dxa"/>
            </w:tcMar>
            <w:vAlign w:val="center"/>
          </w:tcPr>
          <w:p>
            <w:pPr>
              <w:widowControl/>
              <w:jc w:val="left"/>
              <w:rPr>
                <w:color w:val="auto"/>
                <w:szCs w:val="21"/>
                <w:highlight w:val="none"/>
              </w:rPr>
            </w:pPr>
          </w:p>
        </w:tc>
        <w:tc>
          <w:tcPr>
            <w:tcW w:w="1336" w:type="dxa"/>
            <w:noWrap w:val="0"/>
            <w:tcMar>
              <w:top w:w="0" w:type="dxa"/>
              <w:left w:w="105" w:type="dxa"/>
              <w:bottom w:w="0" w:type="dxa"/>
              <w:right w:w="105" w:type="dxa"/>
            </w:tcMar>
            <w:vAlign w:val="center"/>
          </w:tcPr>
          <w:p>
            <w:pPr>
              <w:widowControl/>
              <w:jc w:val="lef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523" w:hRule="atLeast"/>
        </w:trPr>
        <w:tc>
          <w:tcPr>
            <w:tcW w:w="787" w:type="dxa"/>
            <w:noWrap w:val="0"/>
            <w:tcMar>
              <w:top w:w="0" w:type="dxa"/>
              <w:left w:w="105" w:type="dxa"/>
              <w:bottom w:w="0" w:type="dxa"/>
              <w:right w:w="105" w:type="dxa"/>
            </w:tcMar>
            <w:vAlign w:val="center"/>
          </w:tcPr>
          <w:p>
            <w:pPr>
              <w:widowControl/>
              <w:jc w:val="left"/>
              <w:rPr>
                <w:color w:val="auto"/>
                <w:szCs w:val="21"/>
                <w:highlight w:val="none"/>
              </w:rPr>
            </w:pPr>
          </w:p>
        </w:tc>
        <w:tc>
          <w:tcPr>
            <w:tcW w:w="1611" w:type="dxa"/>
            <w:noWrap w:val="0"/>
            <w:tcMar>
              <w:top w:w="0" w:type="dxa"/>
              <w:left w:w="105" w:type="dxa"/>
              <w:bottom w:w="0" w:type="dxa"/>
              <w:right w:w="105" w:type="dxa"/>
            </w:tcMar>
            <w:vAlign w:val="center"/>
          </w:tcPr>
          <w:p>
            <w:pPr>
              <w:widowControl/>
              <w:jc w:val="left"/>
              <w:rPr>
                <w:color w:val="auto"/>
                <w:szCs w:val="21"/>
                <w:highlight w:val="none"/>
              </w:rPr>
            </w:pPr>
          </w:p>
        </w:tc>
        <w:tc>
          <w:tcPr>
            <w:tcW w:w="2709" w:type="dxa"/>
            <w:noWrap w:val="0"/>
            <w:tcMar>
              <w:top w:w="0" w:type="dxa"/>
              <w:left w:w="105" w:type="dxa"/>
              <w:bottom w:w="0" w:type="dxa"/>
              <w:right w:w="105" w:type="dxa"/>
            </w:tcMar>
            <w:vAlign w:val="center"/>
          </w:tcPr>
          <w:p>
            <w:pPr>
              <w:widowControl/>
              <w:jc w:val="left"/>
              <w:rPr>
                <w:color w:val="auto"/>
                <w:szCs w:val="21"/>
                <w:highlight w:val="none"/>
              </w:rPr>
            </w:pPr>
          </w:p>
        </w:tc>
        <w:tc>
          <w:tcPr>
            <w:tcW w:w="2434" w:type="dxa"/>
            <w:noWrap w:val="0"/>
            <w:tcMar>
              <w:top w:w="0" w:type="dxa"/>
              <w:left w:w="105" w:type="dxa"/>
              <w:bottom w:w="0" w:type="dxa"/>
              <w:right w:w="105" w:type="dxa"/>
            </w:tcMar>
            <w:vAlign w:val="center"/>
          </w:tcPr>
          <w:p>
            <w:pPr>
              <w:widowControl/>
              <w:jc w:val="left"/>
              <w:rPr>
                <w:color w:val="auto"/>
                <w:szCs w:val="21"/>
                <w:highlight w:val="none"/>
              </w:rPr>
            </w:pPr>
          </w:p>
        </w:tc>
        <w:tc>
          <w:tcPr>
            <w:tcW w:w="1336" w:type="dxa"/>
            <w:noWrap w:val="0"/>
            <w:tcMar>
              <w:top w:w="0" w:type="dxa"/>
              <w:left w:w="105" w:type="dxa"/>
              <w:bottom w:w="0" w:type="dxa"/>
              <w:right w:w="105" w:type="dxa"/>
            </w:tcMar>
            <w:vAlign w:val="center"/>
          </w:tcPr>
          <w:p>
            <w:pPr>
              <w:widowControl/>
              <w:jc w:val="lef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523" w:hRule="atLeast"/>
        </w:trPr>
        <w:tc>
          <w:tcPr>
            <w:tcW w:w="787" w:type="dxa"/>
            <w:noWrap w:val="0"/>
            <w:tcMar>
              <w:top w:w="0" w:type="dxa"/>
              <w:left w:w="105" w:type="dxa"/>
              <w:bottom w:w="0" w:type="dxa"/>
              <w:right w:w="105" w:type="dxa"/>
            </w:tcMar>
            <w:vAlign w:val="center"/>
          </w:tcPr>
          <w:p>
            <w:pPr>
              <w:widowControl/>
              <w:jc w:val="left"/>
              <w:rPr>
                <w:color w:val="auto"/>
                <w:szCs w:val="21"/>
                <w:highlight w:val="none"/>
              </w:rPr>
            </w:pPr>
          </w:p>
        </w:tc>
        <w:tc>
          <w:tcPr>
            <w:tcW w:w="1611" w:type="dxa"/>
            <w:noWrap w:val="0"/>
            <w:tcMar>
              <w:top w:w="0" w:type="dxa"/>
              <w:left w:w="105" w:type="dxa"/>
              <w:bottom w:w="0" w:type="dxa"/>
              <w:right w:w="105" w:type="dxa"/>
            </w:tcMar>
            <w:vAlign w:val="center"/>
          </w:tcPr>
          <w:p>
            <w:pPr>
              <w:widowControl/>
              <w:jc w:val="left"/>
              <w:rPr>
                <w:color w:val="auto"/>
                <w:szCs w:val="21"/>
                <w:highlight w:val="none"/>
              </w:rPr>
            </w:pPr>
          </w:p>
        </w:tc>
        <w:tc>
          <w:tcPr>
            <w:tcW w:w="2709" w:type="dxa"/>
            <w:noWrap w:val="0"/>
            <w:tcMar>
              <w:top w:w="0" w:type="dxa"/>
              <w:left w:w="105" w:type="dxa"/>
              <w:bottom w:w="0" w:type="dxa"/>
              <w:right w:w="105" w:type="dxa"/>
            </w:tcMar>
            <w:vAlign w:val="center"/>
          </w:tcPr>
          <w:p>
            <w:pPr>
              <w:widowControl/>
              <w:jc w:val="left"/>
              <w:rPr>
                <w:color w:val="auto"/>
                <w:szCs w:val="21"/>
                <w:highlight w:val="none"/>
              </w:rPr>
            </w:pPr>
          </w:p>
        </w:tc>
        <w:tc>
          <w:tcPr>
            <w:tcW w:w="2434" w:type="dxa"/>
            <w:noWrap w:val="0"/>
            <w:tcMar>
              <w:top w:w="0" w:type="dxa"/>
              <w:left w:w="105" w:type="dxa"/>
              <w:bottom w:w="0" w:type="dxa"/>
              <w:right w:w="105" w:type="dxa"/>
            </w:tcMar>
            <w:vAlign w:val="center"/>
          </w:tcPr>
          <w:p>
            <w:pPr>
              <w:widowControl/>
              <w:jc w:val="left"/>
              <w:rPr>
                <w:color w:val="auto"/>
                <w:szCs w:val="21"/>
                <w:highlight w:val="none"/>
              </w:rPr>
            </w:pPr>
          </w:p>
        </w:tc>
        <w:tc>
          <w:tcPr>
            <w:tcW w:w="1336" w:type="dxa"/>
            <w:noWrap w:val="0"/>
            <w:tcMar>
              <w:top w:w="0" w:type="dxa"/>
              <w:left w:w="105" w:type="dxa"/>
              <w:bottom w:w="0" w:type="dxa"/>
              <w:right w:w="105" w:type="dxa"/>
            </w:tcMar>
            <w:vAlign w:val="center"/>
          </w:tcPr>
          <w:p>
            <w:pPr>
              <w:widowControl/>
              <w:jc w:val="lef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523" w:hRule="atLeast"/>
        </w:trPr>
        <w:tc>
          <w:tcPr>
            <w:tcW w:w="787" w:type="dxa"/>
            <w:noWrap w:val="0"/>
            <w:tcMar>
              <w:top w:w="0" w:type="dxa"/>
              <w:left w:w="105" w:type="dxa"/>
              <w:bottom w:w="0" w:type="dxa"/>
              <w:right w:w="105" w:type="dxa"/>
            </w:tcMar>
            <w:vAlign w:val="center"/>
          </w:tcPr>
          <w:p>
            <w:pPr>
              <w:widowControl/>
              <w:jc w:val="left"/>
              <w:rPr>
                <w:color w:val="auto"/>
                <w:szCs w:val="21"/>
                <w:highlight w:val="none"/>
              </w:rPr>
            </w:pPr>
          </w:p>
        </w:tc>
        <w:tc>
          <w:tcPr>
            <w:tcW w:w="1611" w:type="dxa"/>
            <w:noWrap w:val="0"/>
            <w:tcMar>
              <w:top w:w="0" w:type="dxa"/>
              <w:left w:w="105" w:type="dxa"/>
              <w:bottom w:w="0" w:type="dxa"/>
              <w:right w:w="105" w:type="dxa"/>
            </w:tcMar>
            <w:vAlign w:val="center"/>
          </w:tcPr>
          <w:p>
            <w:pPr>
              <w:widowControl/>
              <w:jc w:val="left"/>
              <w:rPr>
                <w:color w:val="auto"/>
                <w:szCs w:val="21"/>
                <w:highlight w:val="none"/>
              </w:rPr>
            </w:pPr>
          </w:p>
        </w:tc>
        <w:tc>
          <w:tcPr>
            <w:tcW w:w="2709" w:type="dxa"/>
            <w:noWrap w:val="0"/>
            <w:tcMar>
              <w:top w:w="0" w:type="dxa"/>
              <w:left w:w="105" w:type="dxa"/>
              <w:bottom w:w="0" w:type="dxa"/>
              <w:right w:w="105" w:type="dxa"/>
            </w:tcMar>
            <w:vAlign w:val="center"/>
          </w:tcPr>
          <w:p>
            <w:pPr>
              <w:widowControl/>
              <w:jc w:val="left"/>
              <w:rPr>
                <w:color w:val="auto"/>
                <w:szCs w:val="21"/>
                <w:highlight w:val="none"/>
              </w:rPr>
            </w:pPr>
          </w:p>
        </w:tc>
        <w:tc>
          <w:tcPr>
            <w:tcW w:w="2434" w:type="dxa"/>
            <w:noWrap w:val="0"/>
            <w:tcMar>
              <w:top w:w="0" w:type="dxa"/>
              <w:left w:w="105" w:type="dxa"/>
              <w:bottom w:w="0" w:type="dxa"/>
              <w:right w:w="105" w:type="dxa"/>
            </w:tcMar>
            <w:vAlign w:val="center"/>
          </w:tcPr>
          <w:p>
            <w:pPr>
              <w:widowControl/>
              <w:jc w:val="left"/>
              <w:rPr>
                <w:color w:val="auto"/>
                <w:szCs w:val="21"/>
                <w:highlight w:val="none"/>
              </w:rPr>
            </w:pPr>
          </w:p>
        </w:tc>
        <w:tc>
          <w:tcPr>
            <w:tcW w:w="1336" w:type="dxa"/>
            <w:noWrap w:val="0"/>
            <w:tcMar>
              <w:top w:w="0" w:type="dxa"/>
              <w:left w:w="105" w:type="dxa"/>
              <w:bottom w:w="0" w:type="dxa"/>
              <w:right w:w="105" w:type="dxa"/>
            </w:tcMar>
            <w:vAlign w:val="center"/>
          </w:tcPr>
          <w:p>
            <w:pPr>
              <w:widowControl/>
              <w:jc w:val="lef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523" w:hRule="atLeast"/>
        </w:trPr>
        <w:tc>
          <w:tcPr>
            <w:tcW w:w="787" w:type="dxa"/>
            <w:noWrap w:val="0"/>
            <w:tcMar>
              <w:top w:w="0" w:type="dxa"/>
              <w:left w:w="105" w:type="dxa"/>
              <w:bottom w:w="0" w:type="dxa"/>
              <w:right w:w="105" w:type="dxa"/>
            </w:tcMar>
            <w:vAlign w:val="center"/>
          </w:tcPr>
          <w:p>
            <w:pPr>
              <w:widowControl/>
              <w:jc w:val="left"/>
              <w:rPr>
                <w:color w:val="auto"/>
                <w:szCs w:val="21"/>
                <w:highlight w:val="none"/>
              </w:rPr>
            </w:pPr>
          </w:p>
        </w:tc>
        <w:tc>
          <w:tcPr>
            <w:tcW w:w="1611" w:type="dxa"/>
            <w:noWrap w:val="0"/>
            <w:tcMar>
              <w:top w:w="0" w:type="dxa"/>
              <w:left w:w="105" w:type="dxa"/>
              <w:bottom w:w="0" w:type="dxa"/>
              <w:right w:w="105" w:type="dxa"/>
            </w:tcMar>
            <w:vAlign w:val="center"/>
          </w:tcPr>
          <w:p>
            <w:pPr>
              <w:widowControl/>
              <w:jc w:val="left"/>
              <w:rPr>
                <w:color w:val="auto"/>
                <w:szCs w:val="21"/>
                <w:highlight w:val="none"/>
              </w:rPr>
            </w:pPr>
          </w:p>
        </w:tc>
        <w:tc>
          <w:tcPr>
            <w:tcW w:w="2709" w:type="dxa"/>
            <w:noWrap w:val="0"/>
            <w:tcMar>
              <w:top w:w="0" w:type="dxa"/>
              <w:left w:w="105" w:type="dxa"/>
              <w:bottom w:w="0" w:type="dxa"/>
              <w:right w:w="105" w:type="dxa"/>
            </w:tcMar>
            <w:vAlign w:val="center"/>
          </w:tcPr>
          <w:p>
            <w:pPr>
              <w:widowControl/>
              <w:jc w:val="left"/>
              <w:rPr>
                <w:color w:val="auto"/>
                <w:szCs w:val="21"/>
                <w:highlight w:val="none"/>
              </w:rPr>
            </w:pPr>
          </w:p>
        </w:tc>
        <w:tc>
          <w:tcPr>
            <w:tcW w:w="2434" w:type="dxa"/>
            <w:noWrap w:val="0"/>
            <w:tcMar>
              <w:top w:w="0" w:type="dxa"/>
              <w:left w:w="105" w:type="dxa"/>
              <w:bottom w:w="0" w:type="dxa"/>
              <w:right w:w="105" w:type="dxa"/>
            </w:tcMar>
            <w:vAlign w:val="center"/>
          </w:tcPr>
          <w:p>
            <w:pPr>
              <w:widowControl/>
              <w:jc w:val="left"/>
              <w:rPr>
                <w:color w:val="auto"/>
                <w:szCs w:val="21"/>
                <w:highlight w:val="none"/>
              </w:rPr>
            </w:pPr>
          </w:p>
        </w:tc>
        <w:tc>
          <w:tcPr>
            <w:tcW w:w="1336" w:type="dxa"/>
            <w:noWrap w:val="0"/>
            <w:tcMar>
              <w:top w:w="0" w:type="dxa"/>
              <w:left w:w="105" w:type="dxa"/>
              <w:bottom w:w="0" w:type="dxa"/>
              <w:right w:w="105" w:type="dxa"/>
            </w:tcMar>
            <w:vAlign w:val="center"/>
          </w:tcPr>
          <w:p>
            <w:pPr>
              <w:widowControl/>
              <w:jc w:val="lef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523" w:hRule="atLeast"/>
        </w:trPr>
        <w:tc>
          <w:tcPr>
            <w:tcW w:w="787" w:type="dxa"/>
            <w:noWrap w:val="0"/>
            <w:tcMar>
              <w:top w:w="0" w:type="dxa"/>
              <w:left w:w="105" w:type="dxa"/>
              <w:bottom w:w="0" w:type="dxa"/>
              <w:right w:w="105" w:type="dxa"/>
            </w:tcMar>
            <w:vAlign w:val="center"/>
          </w:tcPr>
          <w:p>
            <w:pPr>
              <w:widowControl/>
              <w:jc w:val="left"/>
              <w:rPr>
                <w:color w:val="auto"/>
                <w:szCs w:val="21"/>
                <w:highlight w:val="none"/>
              </w:rPr>
            </w:pPr>
          </w:p>
        </w:tc>
        <w:tc>
          <w:tcPr>
            <w:tcW w:w="1611" w:type="dxa"/>
            <w:noWrap w:val="0"/>
            <w:tcMar>
              <w:top w:w="0" w:type="dxa"/>
              <w:left w:w="105" w:type="dxa"/>
              <w:bottom w:w="0" w:type="dxa"/>
              <w:right w:w="105" w:type="dxa"/>
            </w:tcMar>
            <w:vAlign w:val="center"/>
          </w:tcPr>
          <w:p>
            <w:pPr>
              <w:widowControl/>
              <w:jc w:val="left"/>
              <w:rPr>
                <w:color w:val="auto"/>
                <w:szCs w:val="21"/>
                <w:highlight w:val="none"/>
              </w:rPr>
            </w:pPr>
          </w:p>
        </w:tc>
        <w:tc>
          <w:tcPr>
            <w:tcW w:w="2709" w:type="dxa"/>
            <w:noWrap w:val="0"/>
            <w:tcMar>
              <w:top w:w="0" w:type="dxa"/>
              <w:left w:w="105" w:type="dxa"/>
              <w:bottom w:w="0" w:type="dxa"/>
              <w:right w:w="105" w:type="dxa"/>
            </w:tcMar>
            <w:vAlign w:val="center"/>
          </w:tcPr>
          <w:p>
            <w:pPr>
              <w:widowControl/>
              <w:jc w:val="left"/>
              <w:rPr>
                <w:color w:val="auto"/>
                <w:szCs w:val="21"/>
                <w:highlight w:val="none"/>
              </w:rPr>
            </w:pPr>
          </w:p>
        </w:tc>
        <w:tc>
          <w:tcPr>
            <w:tcW w:w="2434" w:type="dxa"/>
            <w:noWrap w:val="0"/>
            <w:tcMar>
              <w:top w:w="0" w:type="dxa"/>
              <w:left w:w="105" w:type="dxa"/>
              <w:bottom w:w="0" w:type="dxa"/>
              <w:right w:w="105" w:type="dxa"/>
            </w:tcMar>
            <w:vAlign w:val="center"/>
          </w:tcPr>
          <w:p>
            <w:pPr>
              <w:widowControl/>
              <w:jc w:val="left"/>
              <w:rPr>
                <w:color w:val="auto"/>
                <w:szCs w:val="21"/>
                <w:highlight w:val="none"/>
              </w:rPr>
            </w:pPr>
          </w:p>
        </w:tc>
        <w:tc>
          <w:tcPr>
            <w:tcW w:w="1336" w:type="dxa"/>
            <w:noWrap w:val="0"/>
            <w:tcMar>
              <w:top w:w="0" w:type="dxa"/>
              <w:left w:w="105" w:type="dxa"/>
              <w:bottom w:w="0" w:type="dxa"/>
              <w:right w:w="105" w:type="dxa"/>
            </w:tcMar>
            <w:vAlign w:val="center"/>
          </w:tcPr>
          <w:p>
            <w:pPr>
              <w:widowControl/>
              <w:jc w:val="lef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523" w:hRule="atLeast"/>
        </w:trPr>
        <w:tc>
          <w:tcPr>
            <w:tcW w:w="787" w:type="dxa"/>
            <w:noWrap w:val="0"/>
            <w:tcMar>
              <w:top w:w="0" w:type="dxa"/>
              <w:left w:w="105" w:type="dxa"/>
              <w:bottom w:w="0" w:type="dxa"/>
              <w:right w:w="105" w:type="dxa"/>
            </w:tcMar>
            <w:vAlign w:val="center"/>
          </w:tcPr>
          <w:p>
            <w:pPr>
              <w:widowControl/>
              <w:jc w:val="left"/>
              <w:rPr>
                <w:color w:val="auto"/>
                <w:szCs w:val="21"/>
                <w:highlight w:val="none"/>
              </w:rPr>
            </w:pPr>
          </w:p>
        </w:tc>
        <w:tc>
          <w:tcPr>
            <w:tcW w:w="1611" w:type="dxa"/>
            <w:noWrap w:val="0"/>
            <w:tcMar>
              <w:top w:w="0" w:type="dxa"/>
              <w:left w:w="105" w:type="dxa"/>
              <w:bottom w:w="0" w:type="dxa"/>
              <w:right w:w="105" w:type="dxa"/>
            </w:tcMar>
            <w:vAlign w:val="center"/>
          </w:tcPr>
          <w:p>
            <w:pPr>
              <w:widowControl/>
              <w:jc w:val="left"/>
              <w:rPr>
                <w:color w:val="auto"/>
                <w:szCs w:val="21"/>
                <w:highlight w:val="none"/>
              </w:rPr>
            </w:pPr>
          </w:p>
        </w:tc>
        <w:tc>
          <w:tcPr>
            <w:tcW w:w="2709" w:type="dxa"/>
            <w:noWrap w:val="0"/>
            <w:tcMar>
              <w:top w:w="0" w:type="dxa"/>
              <w:left w:w="105" w:type="dxa"/>
              <w:bottom w:w="0" w:type="dxa"/>
              <w:right w:w="105" w:type="dxa"/>
            </w:tcMar>
            <w:vAlign w:val="center"/>
          </w:tcPr>
          <w:p>
            <w:pPr>
              <w:widowControl/>
              <w:jc w:val="left"/>
              <w:rPr>
                <w:color w:val="auto"/>
                <w:szCs w:val="21"/>
                <w:highlight w:val="none"/>
              </w:rPr>
            </w:pPr>
          </w:p>
        </w:tc>
        <w:tc>
          <w:tcPr>
            <w:tcW w:w="2434" w:type="dxa"/>
            <w:noWrap w:val="0"/>
            <w:tcMar>
              <w:top w:w="0" w:type="dxa"/>
              <w:left w:w="105" w:type="dxa"/>
              <w:bottom w:w="0" w:type="dxa"/>
              <w:right w:w="105" w:type="dxa"/>
            </w:tcMar>
            <w:vAlign w:val="center"/>
          </w:tcPr>
          <w:p>
            <w:pPr>
              <w:widowControl/>
              <w:jc w:val="left"/>
              <w:rPr>
                <w:color w:val="auto"/>
                <w:szCs w:val="21"/>
                <w:highlight w:val="none"/>
              </w:rPr>
            </w:pPr>
          </w:p>
        </w:tc>
        <w:tc>
          <w:tcPr>
            <w:tcW w:w="1336" w:type="dxa"/>
            <w:noWrap w:val="0"/>
            <w:tcMar>
              <w:top w:w="0" w:type="dxa"/>
              <w:left w:w="105" w:type="dxa"/>
              <w:bottom w:w="0" w:type="dxa"/>
              <w:right w:w="105" w:type="dxa"/>
            </w:tcMar>
            <w:vAlign w:val="center"/>
          </w:tcPr>
          <w:p>
            <w:pPr>
              <w:widowControl/>
              <w:jc w:val="lef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523" w:hRule="atLeast"/>
        </w:trPr>
        <w:tc>
          <w:tcPr>
            <w:tcW w:w="787" w:type="dxa"/>
            <w:noWrap w:val="0"/>
            <w:tcMar>
              <w:top w:w="0" w:type="dxa"/>
              <w:left w:w="105" w:type="dxa"/>
              <w:bottom w:w="0" w:type="dxa"/>
              <w:right w:w="105" w:type="dxa"/>
            </w:tcMar>
            <w:vAlign w:val="center"/>
          </w:tcPr>
          <w:p>
            <w:pPr>
              <w:widowControl/>
              <w:jc w:val="left"/>
              <w:rPr>
                <w:color w:val="auto"/>
                <w:szCs w:val="21"/>
                <w:highlight w:val="none"/>
              </w:rPr>
            </w:pPr>
          </w:p>
        </w:tc>
        <w:tc>
          <w:tcPr>
            <w:tcW w:w="1611" w:type="dxa"/>
            <w:noWrap w:val="0"/>
            <w:tcMar>
              <w:top w:w="0" w:type="dxa"/>
              <w:left w:w="105" w:type="dxa"/>
              <w:bottom w:w="0" w:type="dxa"/>
              <w:right w:w="105" w:type="dxa"/>
            </w:tcMar>
            <w:vAlign w:val="center"/>
          </w:tcPr>
          <w:p>
            <w:pPr>
              <w:widowControl/>
              <w:jc w:val="left"/>
              <w:rPr>
                <w:color w:val="auto"/>
                <w:szCs w:val="21"/>
                <w:highlight w:val="none"/>
              </w:rPr>
            </w:pPr>
          </w:p>
        </w:tc>
        <w:tc>
          <w:tcPr>
            <w:tcW w:w="2709" w:type="dxa"/>
            <w:noWrap w:val="0"/>
            <w:tcMar>
              <w:top w:w="0" w:type="dxa"/>
              <w:left w:w="105" w:type="dxa"/>
              <w:bottom w:w="0" w:type="dxa"/>
              <w:right w:w="105" w:type="dxa"/>
            </w:tcMar>
            <w:vAlign w:val="center"/>
          </w:tcPr>
          <w:p>
            <w:pPr>
              <w:widowControl/>
              <w:jc w:val="left"/>
              <w:rPr>
                <w:color w:val="auto"/>
                <w:szCs w:val="21"/>
                <w:highlight w:val="none"/>
              </w:rPr>
            </w:pPr>
          </w:p>
        </w:tc>
        <w:tc>
          <w:tcPr>
            <w:tcW w:w="2434" w:type="dxa"/>
            <w:noWrap w:val="0"/>
            <w:tcMar>
              <w:top w:w="0" w:type="dxa"/>
              <w:left w:w="105" w:type="dxa"/>
              <w:bottom w:w="0" w:type="dxa"/>
              <w:right w:w="105" w:type="dxa"/>
            </w:tcMar>
            <w:vAlign w:val="center"/>
          </w:tcPr>
          <w:p>
            <w:pPr>
              <w:widowControl/>
              <w:jc w:val="left"/>
              <w:rPr>
                <w:color w:val="auto"/>
                <w:szCs w:val="21"/>
                <w:highlight w:val="none"/>
              </w:rPr>
            </w:pPr>
          </w:p>
        </w:tc>
        <w:tc>
          <w:tcPr>
            <w:tcW w:w="1336" w:type="dxa"/>
            <w:noWrap w:val="0"/>
            <w:tcMar>
              <w:top w:w="0" w:type="dxa"/>
              <w:left w:w="105" w:type="dxa"/>
              <w:bottom w:w="0" w:type="dxa"/>
              <w:right w:w="105" w:type="dxa"/>
            </w:tcMar>
            <w:vAlign w:val="center"/>
          </w:tcPr>
          <w:p>
            <w:pPr>
              <w:widowControl/>
              <w:jc w:val="lef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543" w:hRule="atLeast"/>
        </w:trPr>
        <w:tc>
          <w:tcPr>
            <w:tcW w:w="787" w:type="dxa"/>
            <w:noWrap w:val="0"/>
            <w:tcMar>
              <w:top w:w="0" w:type="dxa"/>
              <w:left w:w="105" w:type="dxa"/>
              <w:bottom w:w="0" w:type="dxa"/>
              <w:right w:w="105" w:type="dxa"/>
            </w:tcMar>
            <w:vAlign w:val="center"/>
          </w:tcPr>
          <w:p>
            <w:pPr>
              <w:widowControl/>
              <w:jc w:val="left"/>
              <w:rPr>
                <w:color w:val="auto"/>
                <w:szCs w:val="21"/>
                <w:highlight w:val="none"/>
              </w:rPr>
            </w:pPr>
          </w:p>
        </w:tc>
        <w:tc>
          <w:tcPr>
            <w:tcW w:w="1611" w:type="dxa"/>
            <w:noWrap w:val="0"/>
            <w:tcMar>
              <w:top w:w="0" w:type="dxa"/>
              <w:left w:w="105" w:type="dxa"/>
              <w:bottom w:w="0" w:type="dxa"/>
              <w:right w:w="105" w:type="dxa"/>
            </w:tcMar>
            <w:vAlign w:val="center"/>
          </w:tcPr>
          <w:p>
            <w:pPr>
              <w:widowControl/>
              <w:jc w:val="left"/>
              <w:rPr>
                <w:color w:val="auto"/>
                <w:szCs w:val="21"/>
                <w:highlight w:val="none"/>
              </w:rPr>
            </w:pPr>
          </w:p>
        </w:tc>
        <w:tc>
          <w:tcPr>
            <w:tcW w:w="2709" w:type="dxa"/>
            <w:noWrap w:val="0"/>
            <w:tcMar>
              <w:top w:w="0" w:type="dxa"/>
              <w:left w:w="105" w:type="dxa"/>
              <w:bottom w:w="0" w:type="dxa"/>
              <w:right w:w="105" w:type="dxa"/>
            </w:tcMar>
            <w:vAlign w:val="center"/>
          </w:tcPr>
          <w:p>
            <w:pPr>
              <w:widowControl/>
              <w:jc w:val="left"/>
              <w:rPr>
                <w:color w:val="auto"/>
                <w:szCs w:val="21"/>
                <w:highlight w:val="none"/>
              </w:rPr>
            </w:pPr>
          </w:p>
        </w:tc>
        <w:tc>
          <w:tcPr>
            <w:tcW w:w="2434" w:type="dxa"/>
            <w:noWrap w:val="0"/>
            <w:tcMar>
              <w:top w:w="0" w:type="dxa"/>
              <w:left w:w="105" w:type="dxa"/>
              <w:bottom w:w="0" w:type="dxa"/>
              <w:right w:w="105" w:type="dxa"/>
            </w:tcMar>
            <w:vAlign w:val="center"/>
          </w:tcPr>
          <w:p>
            <w:pPr>
              <w:widowControl/>
              <w:jc w:val="left"/>
              <w:rPr>
                <w:color w:val="auto"/>
                <w:szCs w:val="21"/>
                <w:highlight w:val="none"/>
              </w:rPr>
            </w:pPr>
          </w:p>
        </w:tc>
        <w:tc>
          <w:tcPr>
            <w:tcW w:w="1336" w:type="dxa"/>
            <w:noWrap w:val="0"/>
            <w:tcMar>
              <w:top w:w="0" w:type="dxa"/>
              <w:left w:w="105" w:type="dxa"/>
              <w:bottom w:w="0" w:type="dxa"/>
              <w:right w:w="105" w:type="dxa"/>
            </w:tcMar>
            <w:vAlign w:val="center"/>
          </w:tcPr>
          <w:p>
            <w:pPr>
              <w:widowControl/>
              <w:jc w:val="left"/>
              <w:rPr>
                <w:color w:val="auto"/>
                <w:szCs w:val="21"/>
                <w:highlight w:val="none"/>
              </w:rPr>
            </w:pPr>
          </w:p>
        </w:tc>
      </w:tr>
    </w:tbl>
    <w:p>
      <w:pPr>
        <w:pStyle w:val="16"/>
        <w:rPr>
          <w:color w:val="auto"/>
          <w:highlight w:val="none"/>
        </w:rPr>
      </w:pPr>
      <w:r>
        <w:rPr>
          <w:b/>
          <w:color w:val="auto"/>
          <w:highlight w:val="none"/>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pPr>
        <w:pStyle w:val="16"/>
        <w:rPr>
          <w:b/>
          <w:color w:val="auto"/>
          <w:highlight w:val="none"/>
        </w:rPr>
      </w:pPr>
      <w:r>
        <w:rPr>
          <w:b/>
          <w:color w:val="auto"/>
          <w:highlight w:val="none"/>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pPr>
        <w:pStyle w:val="11"/>
        <w:widowControl/>
        <w:spacing w:before="75" w:beforeAutospacing="0" w:after="75" w:afterAutospacing="0" w:line="375" w:lineRule="atLeast"/>
        <w:rPr>
          <w:color w:val="auto"/>
          <w:highlight w:val="none"/>
        </w:rPr>
      </w:pPr>
      <w:r>
        <w:rPr>
          <w:rFonts w:hint="eastAsia" w:ascii="宋体" w:hAnsi="宋体" w:cs="宋体"/>
          <w:color w:val="auto"/>
          <w:highlight w:val="none"/>
        </w:rPr>
        <w:t> 供应商代表签字： _________________</w:t>
      </w:r>
    </w:p>
    <w:p>
      <w:pPr>
        <w:pStyle w:val="11"/>
        <w:widowControl/>
        <w:spacing w:before="75" w:beforeAutospacing="0" w:after="75" w:afterAutospacing="0"/>
        <w:rPr>
          <w:rFonts w:hint="eastAsia" w:ascii="宋体" w:hAnsi="宋体" w:cs="宋体"/>
          <w:color w:val="auto"/>
          <w:highlight w:val="none"/>
        </w:rPr>
      </w:pPr>
    </w:p>
    <w:p>
      <w:pPr>
        <w:pStyle w:val="11"/>
        <w:widowControl/>
        <w:spacing w:before="75" w:beforeAutospacing="0" w:after="75" w:afterAutospacing="0"/>
        <w:rPr>
          <w:rFonts w:hint="eastAsia" w:ascii="宋体" w:hAnsi="宋体" w:cs="宋体"/>
          <w:color w:val="auto"/>
          <w:highlight w:val="none"/>
        </w:rPr>
      </w:pPr>
    </w:p>
    <w:p>
      <w:pPr>
        <w:pStyle w:val="11"/>
        <w:widowControl/>
        <w:spacing w:before="75" w:beforeAutospacing="0" w:after="75" w:afterAutospacing="0"/>
        <w:rPr>
          <w:rFonts w:hint="eastAsia" w:ascii="宋体" w:hAnsi="宋体" w:cs="宋体"/>
          <w:color w:val="auto"/>
          <w:highlight w:val="none"/>
        </w:rPr>
      </w:pPr>
    </w:p>
    <w:p>
      <w:pPr>
        <w:pStyle w:val="11"/>
        <w:widowControl/>
        <w:spacing w:before="75" w:beforeAutospacing="0" w:after="75" w:afterAutospacing="0"/>
        <w:rPr>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附件5-2      </w:t>
      </w:r>
      <w:r>
        <w:rPr>
          <w:rStyle w:val="15"/>
          <w:rFonts w:hint="eastAsia" w:ascii="宋体" w:hAnsi="宋体" w:cs="宋体"/>
          <w:color w:val="auto"/>
          <w:highlight w:val="none"/>
        </w:rPr>
        <w:t> 商务条件和其它事项响应表 </w:t>
      </w:r>
    </w:p>
    <w:p>
      <w:pPr>
        <w:pStyle w:val="11"/>
        <w:widowControl/>
        <w:spacing w:before="75" w:beforeAutospacing="0" w:after="75" w:afterAutospacing="0" w:line="375" w:lineRule="atLeast"/>
        <w:rPr>
          <w:color w:val="auto"/>
          <w:highlight w:val="none"/>
        </w:rPr>
      </w:pPr>
      <w:r>
        <w:rPr>
          <w:rFonts w:hint="eastAsia" w:ascii="宋体" w:hAnsi="宋体" w:cs="宋体"/>
          <w:color w:val="auto"/>
          <w:highlight w:val="none"/>
        </w:rPr>
        <w:t>供应商名称：</w:t>
      </w:r>
      <w:r>
        <w:rPr>
          <w:rFonts w:hint="eastAsia" w:ascii="宋体" w:hAnsi="宋体" w:cs="宋体"/>
          <w:color w:val="auto"/>
          <w:highlight w:val="none"/>
          <w:u w:val="single"/>
        </w:rPr>
        <w:t> （全称加盖单位公章）</w:t>
      </w:r>
      <w:r>
        <w:rPr>
          <w:rFonts w:hint="eastAsia" w:ascii="宋体" w:hAnsi="宋体" w:cs="宋体"/>
          <w:color w:val="auto"/>
          <w:highlight w:val="none"/>
        </w:rPr>
        <w:t>  项目编号∶</w:t>
      </w:r>
      <w:r>
        <w:rPr>
          <w:rFonts w:hint="eastAsia" w:ascii="宋体" w:hAnsi="宋体" w:cs="宋体"/>
          <w:color w:val="auto"/>
          <w:highlight w:val="none"/>
          <w:u w:val="single"/>
        </w:rPr>
        <w:t>       </w:t>
      </w:r>
    </w:p>
    <w:tbl>
      <w:tblPr>
        <w:tblStyle w:val="13"/>
        <w:tblW w:w="9218"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7" w:type="dxa"/>
          <w:left w:w="17" w:type="dxa"/>
          <w:bottom w:w="17" w:type="dxa"/>
          <w:right w:w="17" w:type="dxa"/>
        </w:tblCellMar>
      </w:tblPr>
      <w:tblGrid>
        <w:gridCol w:w="818"/>
        <w:gridCol w:w="1673"/>
        <w:gridCol w:w="2812"/>
        <w:gridCol w:w="2527"/>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932" w:hRule="atLeast"/>
        </w:trPr>
        <w:tc>
          <w:tcPr>
            <w:tcW w:w="818" w:type="dxa"/>
            <w:noWrap w:val="0"/>
            <w:tcMar>
              <w:top w:w="0" w:type="dxa"/>
              <w:left w:w="105" w:type="dxa"/>
              <w:bottom w:w="0" w:type="dxa"/>
              <w:right w:w="105" w:type="dxa"/>
            </w:tcMar>
            <w:vAlign w:val="center"/>
          </w:tcPr>
          <w:p>
            <w:pPr>
              <w:pStyle w:val="11"/>
              <w:widowControl/>
              <w:spacing w:before="0" w:beforeAutospacing="0" w:after="0" w:afterAutospacing="0" w:line="375" w:lineRule="atLeast"/>
              <w:rPr>
                <w:color w:val="auto"/>
                <w:sz w:val="21"/>
                <w:szCs w:val="21"/>
                <w:highlight w:val="none"/>
              </w:rPr>
            </w:pPr>
            <w:r>
              <w:rPr>
                <w:rFonts w:hint="eastAsia" w:ascii="宋体" w:hAnsi="宋体" w:cs="宋体"/>
                <w:color w:val="auto"/>
                <w:sz w:val="21"/>
                <w:szCs w:val="21"/>
                <w:highlight w:val="none"/>
              </w:rPr>
              <w:t>合同包</w:t>
            </w:r>
          </w:p>
        </w:tc>
        <w:tc>
          <w:tcPr>
            <w:tcW w:w="1673" w:type="dxa"/>
            <w:noWrap w:val="0"/>
            <w:tcMar>
              <w:top w:w="0" w:type="dxa"/>
              <w:left w:w="105" w:type="dxa"/>
              <w:bottom w:w="0" w:type="dxa"/>
              <w:right w:w="105" w:type="dxa"/>
            </w:tcMar>
            <w:vAlign w:val="center"/>
          </w:tcPr>
          <w:p>
            <w:pPr>
              <w:pStyle w:val="11"/>
              <w:widowControl/>
              <w:spacing w:before="0" w:beforeAutospacing="0" w:after="0" w:afterAutospacing="0" w:line="375" w:lineRule="atLeast"/>
              <w:rPr>
                <w:color w:val="auto"/>
                <w:sz w:val="21"/>
                <w:szCs w:val="21"/>
                <w:highlight w:val="none"/>
              </w:rPr>
            </w:pPr>
            <w:r>
              <w:rPr>
                <w:rFonts w:hint="eastAsia" w:ascii="宋体" w:hAnsi="宋体" w:cs="宋体"/>
                <w:color w:val="auto"/>
                <w:sz w:val="21"/>
                <w:szCs w:val="21"/>
                <w:highlight w:val="none"/>
              </w:rPr>
              <w:t>章节条目号</w:t>
            </w:r>
          </w:p>
        </w:tc>
        <w:tc>
          <w:tcPr>
            <w:tcW w:w="2812" w:type="dxa"/>
            <w:noWrap w:val="0"/>
            <w:tcMar>
              <w:top w:w="0" w:type="dxa"/>
              <w:left w:w="105" w:type="dxa"/>
              <w:bottom w:w="0" w:type="dxa"/>
              <w:right w:w="105" w:type="dxa"/>
            </w:tcMar>
            <w:vAlign w:val="center"/>
          </w:tcPr>
          <w:p>
            <w:pPr>
              <w:pStyle w:val="11"/>
              <w:widowControl/>
              <w:spacing w:before="0" w:beforeAutospacing="0" w:after="0" w:afterAutospacing="0" w:line="375" w:lineRule="atLeast"/>
              <w:rPr>
                <w:color w:val="auto"/>
                <w:sz w:val="21"/>
                <w:szCs w:val="21"/>
                <w:highlight w:val="none"/>
              </w:rPr>
            </w:pPr>
            <w:r>
              <w:rPr>
                <w:rFonts w:hint="eastAsia" w:ascii="宋体" w:hAnsi="宋体" w:cs="宋体"/>
                <w:color w:val="auto"/>
                <w:sz w:val="21"/>
                <w:szCs w:val="21"/>
                <w:highlight w:val="none"/>
              </w:rPr>
              <w:t>竞争性磋商文件规定的商务条件要求</w:t>
            </w:r>
          </w:p>
        </w:tc>
        <w:tc>
          <w:tcPr>
            <w:tcW w:w="2527" w:type="dxa"/>
            <w:noWrap w:val="0"/>
            <w:tcMar>
              <w:top w:w="0" w:type="dxa"/>
              <w:left w:w="105" w:type="dxa"/>
              <w:bottom w:w="0" w:type="dxa"/>
              <w:right w:w="105" w:type="dxa"/>
            </w:tcMar>
            <w:vAlign w:val="center"/>
          </w:tcPr>
          <w:p>
            <w:pPr>
              <w:pStyle w:val="11"/>
              <w:widowControl/>
              <w:spacing w:before="0" w:beforeAutospacing="0" w:after="0" w:afterAutospacing="0" w:line="375" w:lineRule="atLeast"/>
              <w:rPr>
                <w:color w:val="auto"/>
                <w:sz w:val="21"/>
                <w:szCs w:val="21"/>
                <w:highlight w:val="none"/>
              </w:rPr>
            </w:pPr>
            <w:r>
              <w:rPr>
                <w:rFonts w:hint="eastAsia" w:ascii="宋体" w:hAnsi="宋体" w:cs="宋体"/>
                <w:color w:val="auto"/>
                <w:sz w:val="21"/>
                <w:szCs w:val="21"/>
                <w:highlight w:val="none"/>
              </w:rPr>
              <w:t>响应文件响应承诺</w:t>
            </w:r>
          </w:p>
        </w:tc>
        <w:tc>
          <w:tcPr>
            <w:tcW w:w="1388" w:type="dxa"/>
            <w:noWrap w:val="0"/>
            <w:tcMar>
              <w:top w:w="0" w:type="dxa"/>
              <w:left w:w="105" w:type="dxa"/>
              <w:bottom w:w="0" w:type="dxa"/>
              <w:right w:w="105" w:type="dxa"/>
            </w:tcMar>
            <w:vAlign w:val="center"/>
          </w:tcPr>
          <w:p>
            <w:pPr>
              <w:pStyle w:val="11"/>
              <w:widowControl/>
              <w:spacing w:before="0" w:beforeAutospacing="0" w:after="0" w:afterAutospacing="0" w:line="375" w:lineRule="atLeast"/>
              <w:rPr>
                <w:color w:val="auto"/>
                <w:sz w:val="21"/>
                <w:szCs w:val="21"/>
                <w:highlight w:val="none"/>
              </w:rPr>
            </w:pPr>
            <w:r>
              <w:rPr>
                <w:rFonts w:hint="eastAsia" w:ascii="宋体" w:hAnsi="宋体" w:cs="宋体"/>
                <w:color w:val="auto"/>
                <w:sz w:val="21"/>
                <w:szCs w:val="21"/>
                <w:highlight w:val="none"/>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537" w:hRule="atLeast"/>
        </w:trPr>
        <w:tc>
          <w:tcPr>
            <w:tcW w:w="818" w:type="dxa"/>
            <w:noWrap w:val="0"/>
            <w:tcMar>
              <w:top w:w="0" w:type="dxa"/>
              <w:left w:w="105" w:type="dxa"/>
              <w:bottom w:w="0" w:type="dxa"/>
              <w:right w:w="105" w:type="dxa"/>
            </w:tcMar>
            <w:vAlign w:val="center"/>
          </w:tcPr>
          <w:p>
            <w:pPr>
              <w:widowControl/>
              <w:jc w:val="left"/>
              <w:rPr>
                <w:color w:val="auto"/>
                <w:szCs w:val="21"/>
                <w:highlight w:val="none"/>
              </w:rPr>
            </w:pPr>
          </w:p>
        </w:tc>
        <w:tc>
          <w:tcPr>
            <w:tcW w:w="1673" w:type="dxa"/>
            <w:noWrap w:val="0"/>
            <w:tcMar>
              <w:top w:w="0" w:type="dxa"/>
              <w:left w:w="105" w:type="dxa"/>
              <w:bottom w:w="0" w:type="dxa"/>
              <w:right w:w="105" w:type="dxa"/>
            </w:tcMar>
            <w:vAlign w:val="center"/>
          </w:tcPr>
          <w:p>
            <w:pPr>
              <w:widowControl/>
              <w:jc w:val="left"/>
              <w:rPr>
                <w:color w:val="auto"/>
                <w:szCs w:val="21"/>
                <w:highlight w:val="none"/>
              </w:rPr>
            </w:pPr>
          </w:p>
        </w:tc>
        <w:tc>
          <w:tcPr>
            <w:tcW w:w="2812" w:type="dxa"/>
            <w:noWrap w:val="0"/>
            <w:tcMar>
              <w:top w:w="0" w:type="dxa"/>
              <w:left w:w="105" w:type="dxa"/>
              <w:bottom w:w="0" w:type="dxa"/>
              <w:right w:w="105" w:type="dxa"/>
            </w:tcMar>
            <w:vAlign w:val="center"/>
          </w:tcPr>
          <w:p>
            <w:pPr>
              <w:widowControl/>
              <w:jc w:val="left"/>
              <w:rPr>
                <w:color w:val="auto"/>
                <w:szCs w:val="21"/>
                <w:highlight w:val="none"/>
              </w:rPr>
            </w:pPr>
          </w:p>
        </w:tc>
        <w:tc>
          <w:tcPr>
            <w:tcW w:w="2527" w:type="dxa"/>
            <w:noWrap w:val="0"/>
            <w:tcMar>
              <w:top w:w="0" w:type="dxa"/>
              <w:left w:w="105" w:type="dxa"/>
              <w:bottom w:w="0" w:type="dxa"/>
              <w:right w:w="105" w:type="dxa"/>
            </w:tcMar>
            <w:vAlign w:val="center"/>
          </w:tcPr>
          <w:p>
            <w:pPr>
              <w:widowControl/>
              <w:jc w:val="left"/>
              <w:rPr>
                <w:color w:val="auto"/>
                <w:szCs w:val="21"/>
                <w:highlight w:val="none"/>
              </w:rPr>
            </w:pPr>
          </w:p>
        </w:tc>
        <w:tc>
          <w:tcPr>
            <w:tcW w:w="1388" w:type="dxa"/>
            <w:noWrap w:val="0"/>
            <w:tcMar>
              <w:top w:w="0" w:type="dxa"/>
              <w:left w:w="105" w:type="dxa"/>
              <w:bottom w:w="0" w:type="dxa"/>
              <w:right w:w="105" w:type="dxa"/>
            </w:tcMar>
            <w:vAlign w:val="center"/>
          </w:tcPr>
          <w:p>
            <w:pPr>
              <w:widowControl/>
              <w:jc w:val="lef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537" w:hRule="atLeast"/>
        </w:trPr>
        <w:tc>
          <w:tcPr>
            <w:tcW w:w="818" w:type="dxa"/>
            <w:noWrap w:val="0"/>
            <w:tcMar>
              <w:top w:w="0" w:type="dxa"/>
              <w:left w:w="105" w:type="dxa"/>
              <w:bottom w:w="0" w:type="dxa"/>
              <w:right w:w="105" w:type="dxa"/>
            </w:tcMar>
            <w:vAlign w:val="center"/>
          </w:tcPr>
          <w:p>
            <w:pPr>
              <w:widowControl/>
              <w:jc w:val="left"/>
              <w:rPr>
                <w:color w:val="auto"/>
                <w:szCs w:val="21"/>
                <w:highlight w:val="none"/>
              </w:rPr>
            </w:pPr>
          </w:p>
        </w:tc>
        <w:tc>
          <w:tcPr>
            <w:tcW w:w="1673" w:type="dxa"/>
            <w:noWrap w:val="0"/>
            <w:tcMar>
              <w:top w:w="0" w:type="dxa"/>
              <w:left w:w="105" w:type="dxa"/>
              <w:bottom w:w="0" w:type="dxa"/>
              <w:right w:w="105" w:type="dxa"/>
            </w:tcMar>
            <w:vAlign w:val="center"/>
          </w:tcPr>
          <w:p>
            <w:pPr>
              <w:widowControl/>
              <w:jc w:val="left"/>
              <w:rPr>
                <w:color w:val="auto"/>
                <w:szCs w:val="21"/>
                <w:highlight w:val="none"/>
              </w:rPr>
            </w:pPr>
          </w:p>
        </w:tc>
        <w:tc>
          <w:tcPr>
            <w:tcW w:w="2812" w:type="dxa"/>
            <w:noWrap w:val="0"/>
            <w:tcMar>
              <w:top w:w="0" w:type="dxa"/>
              <w:left w:w="105" w:type="dxa"/>
              <w:bottom w:w="0" w:type="dxa"/>
              <w:right w:w="105" w:type="dxa"/>
            </w:tcMar>
            <w:vAlign w:val="center"/>
          </w:tcPr>
          <w:p>
            <w:pPr>
              <w:widowControl/>
              <w:jc w:val="left"/>
              <w:rPr>
                <w:color w:val="auto"/>
                <w:szCs w:val="21"/>
                <w:highlight w:val="none"/>
              </w:rPr>
            </w:pPr>
          </w:p>
        </w:tc>
        <w:tc>
          <w:tcPr>
            <w:tcW w:w="2527" w:type="dxa"/>
            <w:noWrap w:val="0"/>
            <w:tcMar>
              <w:top w:w="0" w:type="dxa"/>
              <w:left w:w="105" w:type="dxa"/>
              <w:bottom w:w="0" w:type="dxa"/>
              <w:right w:w="105" w:type="dxa"/>
            </w:tcMar>
            <w:vAlign w:val="center"/>
          </w:tcPr>
          <w:p>
            <w:pPr>
              <w:widowControl/>
              <w:jc w:val="left"/>
              <w:rPr>
                <w:color w:val="auto"/>
                <w:szCs w:val="21"/>
                <w:highlight w:val="none"/>
              </w:rPr>
            </w:pPr>
          </w:p>
        </w:tc>
        <w:tc>
          <w:tcPr>
            <w:tcW w:w="1388" w:type="dxa"/>
            <w:noWrap w:val="0"/>
            <w:tcMar>
              <w:top w:w="0" w:type="dxa"/>
              <w:left w:w="105" w:type="dxa"/>
              <w:bottom w:w="0" w:type="dxa"/>
              <w:right w:w="105" w:type="dxa"/>
            </w:tcMar>
            <w:vAlign w:val="center"/>
          </w:tcPr>
          <w:p>
            <w:pPr>
              <w:widowControl/>
              <w:jc w:val="lef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537" w:hRule="atLeast"/>
        </w:trPr>
        <w:tc>
          <w:tcPr>
            <w:tcW w:w="818" w:type="dxa"/>
            <w:noWrap w:val="0"/>
            <w:tcMar>
              <w:top w:w="0" w:type="dxa"/>
              <w:left w:w="105" w:type="dxa"/>
              <w:bottom w:w="0" w:type="dxa"/>
              <w:right w:w="105" w:type="dxa"/>
            </w:tcMar>
            <w:vAlign w:val="center"/>
          </w:tcPr>
          <w:p>
            <w:pPr>
              <w:widowControl/>
              <w:jc w:val="left"/>
              <w:rPr>
                <w:color w:val="auto"/>
                <w:szCs w:val="21"/>
                <w:highlight w:val="none"/>
              </w:rPr>
            </w:pPr>
          </w:p>
        </w:tc>
        <w:tc>
          <w:tcPr>
            <w:tcW w:w="1673" w:type="dxa"/>
            <w:noWrap w:val="0"/>
            <w:tcMar>
              <w:top w:w="0" w:type="dxa"/>
              <w:left w:w="105" w:type="dxa"/>
              <w:bottom w:w="0" w:type="dxa"/>
              <w:right w:w="105" w:type="dxa"/>
            </w:tcMar>
            <w:vAlign w:val="center"/>
          </w:tcPr>
          <w:p>
            <w:pPr>
              <w:widowControl/>
              <w:jc w:val="left"/>
              <w:rPr>
                <w:color w:val="auto"/>
                <w:szCs w:val="21"/>
                <w:highlight w:val="none"/>
              </w:rPr>
            </w:pPr>
          </w:p>
        </w:tc>
        <w:tc>
          <w:tcPr>
            <w:tcW w:w="2812" w:type="dxa"/>
            <w:noWrap w:val="0"/>
            <w:tcMar>
              <w:top w:w="0" w:type="dxa"/>
              <w:left w:w="105" w:type="dxa"/>
              <w:bottom w:w="0" w:type="dxa"/>
              <w:right w:w="105" w:type="dxa"/>
            </w:tcMar>
            <w:vAlign w:val="center"/>
          </w:tcPr>
          <w:p>
            <w:pPr>
              <w:widowControl/>
              <w:jc w:val="left"/>
              <w:rPr>
                <w:color w:val="auto"/>
                <w:szCs w:val="21"/>
                <w:highlight w:val="none"/>
              </w:rPr>
            </w:pPr>
          </w:p>
        </w:tc>
        <w:tc>
          <w:tcPr>
            <w:tcW w:w="2527" w:type="dxa"/>
            <w:noWrap w:val="0"/>
            <w:tcMar>
              <w:top w:w="0" w:type="dxa"/>
              <w:left w:w="105" w:type="dxa"/>
              <w:bottom w:w="0" w:type="dxa"/>
              <w:right w:w="105" w:type="dxa"/>
            </w:tcMar>
            <w:vAlign w:val="center"/>
          </w:tcPr>
          <w:p>
            <w:pPr>
              <w:widowControl/>
              <w:jc w:val="left"/>
              <w:rPr>
                <w:color w:val="auto"/>
                <w:szCs w:val="21"/>
                <w:highlight w:val="none"/>
              </w:rPr>
            </w:pPr>
          </w:p>
        </w:tc>
        <w:tc>
          <w:tcPr>
            <w:tcW w:w="1388" w:type="dxa"/>
            <w:noWrap w:val="0"/>
            <w:tcMar>
              <w:top w:w="0" w:type="dxa"/>
              <w:left w:w="105" w:type="dxa"/>
              <w:bottom w:w="0" w:type="dxa"/>
              <w:right w:w="105" w:type="dxa"/>
            </w:tcMar>
            <w:vAlign w:val="center"/>
          </w:tcPr>
          <w:p>
            <w:pPr>
              <w:widowControl/>
              <w:jc w:val="lef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537" w:hRule="atLeast"/>
        </w:trPr>
        <w:tc>
          <w:tcPr>
            <w:tcW w:w="818" w:type="dxa"/>
            <w:noWrap w:val="0"/>
            <w:tcMar>
              <w:top w:w="0" w:type="dxa"/>
              <w:left w:w="105" w:type="dxa"/>
              <w:bottom w:w="0" w:type="dxa"/>
              <w:right w:w="105" w:type="dxa"/>
            </w:tcMar>
            <w:vAlign w:val="center"/>
          </w:tcPr>
          <w:p>
            <w:pPr>
              <w:widowControl/>
              <w:jc w:val="left"/>
              <w:rPr>
                <w:color w:val="auto"/>
                <w:szCs w:val="21"/>
                <w:highlight w:val="none"/>
              </w:rPr>
            </w:pPr>
          </w:p>
        </w:tc>
        <w:tc>
          <w:tcPr>
            <w:tcW w:w="1673" w:type="dxa"/>
            <w:noWrap w:val="0"/>
            <w:tcMar>
              <w:top w:w="0" w:type="dxa"/>
              <w:left w:w="105" w:type="dxa"/>
              <w:bottom w:w="0" w:type="dxa"/>
              <w:right w:w="105" w:type="dxa"/>
            </w:tcMar>
            <w:vAlign w:val="center"/>
          </w:tcPr>
          <w:p>
            <w:pPr>
              <w:widowControl/>
              <w:jc w:val="left"/>
              <w:rPr>
                <w:color w:val="auto"/>
                <w:szCs w:val="21"/>
                <w:highlight w:val="none"/>
              </w:rPr>
            </w:pPr>
          </w:p>
        </w:tc>
        <w:tc>
          <w:tcPr>
            <w:tcW w:w="2812" w:type="dxa"/>
            <w:noWrap w:val="0"/>
            <w:tcMar>
              <w:top w:w="0" w:type="dxa"/>
              <w:left w:w="105" w:type="dxa"/>
              <w:bottom w:w="0" w:type="dxa"/>
              <w:right w:w="105" w:type="dxa"/>
            </w:tcMar>
            <w:vAlign w:val="center"/>
          </w:tcPr>
          <w:p>
            <w:pPr>
              <w:widowControl/>
              <w:jc w:val="left"/>
              <w:rPr>
                <w:color w:val="auto"/>
                <w:szCs w:val="21"/>
                <w:highlight w:val="none"/>
              </w:rPr>
            </w:pPr>
          </w:p>
        </w:tc>
        <w:tc>
          <w:tcPr>
            <w:tcW w:w="2527" w:type="dxa"/>
            <w:noWrap w:val="0"/>
            <w:tcMar>
              <w:top w:w="0" w:type="dxa"/>
              <w:left w:w="105" w:type="dxa"/>
              <w:bottom w:w="0" w:type="dxa"/>
              <w:right w:w="105" w:type="dxa"/>
            </w:tcMar>
            <w:vAlign w:val="center"/>
          </w:tcPr>
          <w:p>
            <w:pPr>
              <w:widowControl/>
              <w:jc w:val="left"/>
              <w:rPr>
                <w:color w:val="auto"/>
                <w:szCs w:val="21"/>
                <w:highlight w:val="none"/>
              </w:rPr>
            </w:pPr>
          </w:p>
        </w:tc>
        <w:tc>
          <w:tcPr>
            <w:tcW w:w="1388" w:type="dxa"/>
            <w:noWrap w:val="0"/>
            <w:tcMar>
              <w:top w:w="0" w:type="dxa"/>
              <w:left w:w="105" w:type="dxa"/>
              <w:bottom w:w="0" w:type="dxa"/>
              <w:right w:w="105" w:type="dxa"/>
            </w:tcMar>
            <w:vAlign w:val="center"/>
          </w:tcPr>
          <w:p>
            <w:pPr>
              <w:widowControl/>
              <w:jc w:val="lef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537" w:hRule="atLeast"/>
        </w:trPr>
        <w:tc>
          <w:tcPr>
            <w:tcW w:w="818" w:type="dxa"/>
            <w:noWrap w:val="0"/>
            <w:tcMar>
              <w:top w:w="0" w:type="dxa"/>
              <w:left w:w="105" w:type="dxa"/>
              <w:bottom w:w="0" w:type="dxa"/>
              <w:right w:w="105" w:type="dxa"/>
            </w:tcMar>
            <w:vAlign w:val="center"/>
          </w:tcPr>
          <w:p>
            <w:pPr>
              <w:widowControl/>
              <w:jc w:val="left"/>
              <w:rPr>
                <w:color w:val="auto"/>
                <w:szCs w:val="21"/>
                <w:highlight w:val="none"/>
              </w:rPr>
            </w:pPr>
          </w:p>
        </w:tc>
        <w:tc>
          <w:tcPr>
            <w:tcW w:w="1673" w:type="dxa"/>
            <w:noWrap w:val="0"/>
            <w:tcMar>
              <w:top w:w="0" w:type="dxa"/>
              <w:left w:w="105" w:type="dxa"/>
              <w:bottom w:w="0" w:type="dxa"/>
              <w:right w:w="105" w:type="dxa"/>
            </w:tcMar>
            <w:vAlign w:val="center"/>
          </w:tcPr>
          <w:p>
            <w:pPr>
              <w:widowControl/>
              <w:jc w:val="left"/>
              <w:rPr>
                <w:color w:val="auto"/>
                <w:szCs w:val="21"/>
                <w:highlight w:val="none"/>
              </w:rPr>
            </w:pPr>
          </w:p>
        </w:tc>
        <w:tc>
          <w:tcPr>
            <w:tcW w:w="2812" w:type="dxa"/>
            <w:noWrap w:val="0"/>
            <w:tcMar>
              <w:top w:w="0" w:type="dxa"/>
              <w:left w:w="105" w:type="dxa"/>
              <w:bottom w:w="0" w:type="dxa"/>
              <w:right w:w="105" w:type="dxa"/>
            </w:tcMar>
            <w:vAlign w:val="center"/>
          </w:tcPr>
          <w:p>
            <w:pPr>
              <w:widowControl/>
              <w:jc w:val="left"/>
              <w:rPr>
                <w:color w:val="auto"/>
                <w:szCs w:val="21"/>
                <w:highlight w:val="none"/>
              </w:rPr>
            </w:pPr>
          </w:p>
        </w:tc>
        <w:tc>
          <w:tcPr>
            <w:tcW w:w="2527" w:type="dxa"/>
            <w:noWrap w:val="0"/>
            <w:tcMar>
              <w:top w:w="0" w:type="dxa"/>
              <w:left w:w="105" w:type="dxa"/>
              <w:bottom w:w="0" w:type="dxa"/>
              <w:right w:w="105" w:type="dxa"/>
            </w:tcMar>
            <w:vAlign w:val="center"/>
          </w:tcPr>
          <w:p>
            <w:pPr>
              <w:widowControl/>
              <w:jc w:val="left"/>
              <w:rPr>
                <w:color w:val="auto"/>
                <w:szCs w:val="21"/>
                <w:highlight w:val="none"/>
              </w:rPr>
            </w:pPr>
          </w:p>
        </w:tc>
        <w:tc>
          <w:tcPr>
            <w:tcW w:w="1388" w:type="dxa"/>
            <w:noWrap w:val="0"/>
            <w:tcMar>
              <w:top w:w="0" w:type="dxa"/>
              <w:left w:w="105" w:type="dxa"/>
              <w:bottom w:w="0" w:type="dxa"/>
              <w:right w:w="105" w:type="dxa"/>
            </w:tcMar>
            <w:vAlign w:val="center"/>
          </w:tcPr>
          <w:p>
            <w:pPr>
              <w:widowControl/>
              <w:jc w:val="lef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537" w:hRule="atLeast"/>
        </w:trPr>
        <w:tc>
          <w:tcPr>
            <w:tcW w:w="818" w:type="dxa"/>
            <w:noWrap w:val="0"/>
            <w:tcMar>
              <w:top w:w="0" w:type="dxa"/>
              <w:left w:w="105" w:type="dxa"/>
              <w:bottom w:w="0" w:type="dxa"/>
              <w:right w:w="105" w:type="dxa"/>
            </w:tcMar>
            <w:vAlign w:val="center"/>
          </w:tcPr>
          <w:p>
            <w:pPr>
              <w:widowControl/>
              <w:jc w:val="left"/>
              <w:rPr>
                <w:color w:val="auto"/>
                <w:szCs w:val="21"/>
                <w:highlight w:val="none"/>
              </w:rPr>
            </w:pPr>
          </w:p>
        </w:tc>
        <w:tc>
          <w:tcPr>
            <w:tcW w:w="1673" w:type="dxa"/>
            <w:noWrap w:val="0"/>
            <w:tcMar>
              <w:top w:w="0" w:type="dxa"/>
              <w:left w:w="105" w:type="dxa"/>
              <w:bottom w:w="0" w:type="dxa"/>
              <w:right w:w="105" w:type="dxa"/>
            </w:tcMar>
            <w:vAlign w:val="center"/>
          </w:tcPr>
          <w:p>
            <w:pPr>
              <w:widowControl/>
              <w:jc w:val="left"/>
              <w:rPr>
                <w:color w:val="auto"/>
                <w:szCs w:val="21"/>
                <w:highlight w:val="none"/>
              </w:rPr>
            </w:pPr>
          </w:p>
        </w:tc>
        <w:tc>
          <w:tcPr>
            <w:tcW w:w="2812" w:type="dxa"/>
            <w:noWrap w:val="0"/>
            <w:tcMar>
              <w:top w:w="0" w:type="dxa"/>
              <w:left w:w="105" w:type="dxa"/>
              <w:bottom w:w="0" w:type="dxa"/>
              <w:right w:w="105" w:type="dxa"/>
            </w:tcMar>
            <w:vAlign w:val="center"/>
          </w:tcPr>
          <w:p>
            <w:pPr>
              <w:widowControl/>
              <w:jc w:val="left"/>
              <w:rPr>
                <w:color w:val="auto"/>
                <w:szCs w:val="21"/>
                <w:highlight w:val="none"/>
              </w:rPr>
            </w:pPr>
          </w:p>
        </w:tc>
        <w:tc>
          <w:tcPr>
            <w:tcW w:w="2527" w:type="dxa"/>
            <w:noWrap w:val="0"/>
            <w:tcMar>
              <w:top w:w="0" w:type="dxa"/>
              <w:left w:w="105" w:type="dxa"/>
              <w:bottom w:w="0" w:type="dxa"/>
              <w:right w:w="105" w:type="dxa"/>
            </w:tcMar>
            <w:vAlign w:val="center"/>
          </w:tcPr>
          <w:p>
            <w:pPr>
              <w:widowControl/>
              <w:jc w:val="left"/>
              <w:rPr>
                <w:color w:val="auto"/>
                <w:szCs w:val="21"/>
                <w:highlight w:val="none"/>
              </w:rPr>
            </w:pPr>
          </w:p>
        </w:tc>
        <w:tc>
          <w:tcPr>
            <w:tcW w:w="1388" w:type="dxa"/>
            <w:noWrap w:val="0"/>
            <w:tcMar>
              <w:top w:w="0" w:type="dxa"/>
              <w:left w:w="105" w:type="dxa"/>
              <w:bottom w:w="0" w:type="dxa"/>
              <w:right w:w="105" w:type="dxa"/>
            </w:tcMar>
            <w:vAlign w:val="center"/>
          </w:tcPr>
          <w:p>
            <w:pPr>
              <w:widowControl/>
              <w:jc w:val="lef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537" w:hRule="atLeast"/>
        </w:trPr>
        <w:tc>
          <w:tcPr>
            <w:tcW w:w="818" w:type="dxa"/>
            <w:noWrap w:val="0"/>
            <w:tcMar>
              <w:top w:w="0" w:type="dxa"/>
              <w:left w:w="105" w:type="dxa"/>
              <w:bottom w:w="0" w:type="dxa"/>
              <w:right w:w="105" w:type="dxa"/>
            </w:tcMar>
            <w:vAlign w:val="center"/>
          </w:tcPr>
          <w:p>
            <w:pPr>
              <w:widowControl/>
              <w:jc w:val="left"/>
              <w:rPr>
                <w:color w:val="auto"/>
                <w:szCs w:val="21"/>
                <w:highlight w:val="none"/>
              </w:rPr>
            </w:pPr>
          </w:p>
        </w:tc>
        <w:tc>
          <w:tcPr>
            <w:tcW w:w="1673" w:type="dxa"/>
            <w:noWrap w:val="0"/>
            <w:tcMar>
              <w:top w:w="0" w:type="dxa"/>
              <w:left w:w="105" w:type="dxa"/>
              <w:bottom w:w="0" w:type="dxa"/>
              <w:right w:w="105" w:type="dxa"/>
            </w:tcMar>
            <w:vAlign w:val="center"/>
          </w:tcPr>
          <w:p>
            <w:pPr>
              <w:widowControl/>
              <w:jc w:val="left"/>
              <w:rPr>
                <w:color w:val="auto"/>
                <w:szCs w:val="21"/>
                <w:highlight w:val="none"/>
              </w:rPr>
            </w:pPr>
          </w:p>
        </w:tc>
        <w:tc>
          <w:tcPr>
            <w:tcW w:w="2812" w:type="dxa"/>
            <w:noWrap w:val="0"/>
            <w:tcMar>
              <w:top w:w="0" w:type="dxa"/>
              <w:left w:w="105" w:type="dxa"/>
              <w:bottom w:w="0" w:type="dxa"/>
              <w:right w:w="105" w:type="dxa"/>
            </w:tcMar>
            <w:vAlign w:val="center"/>
          </w:tcPr>
          <w:p>
            <w:pPr>
              <w:widowControl/>
              <w:jc w:val="left"/>
              <w:rPr>
                <w:color w:val="auto"/>
                <w:szCs w:val="21"/>
                <w:highlight w:val="none"/>
              </w:rPr>
            </w:pPr>
          </w:p>
        </w:tc>
        <w:tc>
          <w:tcPr>
            <w:tcW w:w="2527" w:type="dxa"/>
            <w:noWrap w:val="0"/>
            <w:tcMar>
              <w:top w:w="0" w:type="dxa"/>
              <w:left w:w="105" w:type="dxa"/>
              <w:bottom w:w="0" w:type="dxa"/>
              <w:right w:w="105" w:type="dxa"/>
            </w:tcMar>
            <w:vAlign w:val="center"/>
          </w:tcPr>
          <w:p>
            <w:pPr>
              <w:widowControl/>
              <w:jc w:val="left"/>
              <w:rPr>
                <w:color w:val="auto"/>
                <w:szCs w:val="21"/>
                <w:highlight w:val="none"/>
              </w:rPr>
            </w:pPr>
          </w:p>
        </w:tc>
        <w:tc>
          <w:tcPr>
            <w:tcW w:w="1388" w:type="dxa"/>
            <w:noWrap w:val="0"/>
            <w:tcMar>
              <w:top w:w="0" w:type="dxa"/>
              <w:left w:w="105" w:type="dxa"/>
              <w:bottom w:w="0" w:type="dxa"/>
              <w:right w:w="105" w:type="dxa"/>
            </w:tcMar>
            <w:vAlign w:val="center"/>
          </w:tcPr>
          <w:p>
            <w:pPr>
              <w:widowControl/>
              <w:jc w:val="lef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537" w:hRule="atLeast"/>
        </w:trPr>
        <w:tc>
          <w:tcPr>
            <w:tcW w:w="818" w:type="dxa"/>
            <w:noWrap w:val="0"/>
            <w:tcMar>
              <w:top w:w="0" w:type="dxa"/>
              <w:left w:w="105" w:type="dxa"/>
              <w:bottom w:w="0" w:type="dxa"/>
              <w:right w:w="105" w:type="dxa"/>
            </w:tcMar>
            <w:vAlign w:val="center"/>
          </w:tcPr>
          <w:p>
            <w:pPr>
              <w:widowControl/>
              <w:jc w:val="left"/>
              <w:rPr>
                <w:color w:val="auto"/>
                <w:szCs w:val="21"/>
                <w:highlight w:val="none"/>
              </w:rPr>
            </w:pPr>
          </w:p>
        </w:tc>
        <w:tc>
          <w:tcPr>
            <w:tcW w:w="1673" w:type="dxa"/>
            <w:noWrap w:val="0"/>
            <w:tcMar>
              <w:top w:w="0" w:type="dxa"/>
              <w:left w:w="105" w:type="dxa"/>
              <w:bottom w:w="0" w:type="dxa"/>
              <w:right w:w="105" w:type="dxa"/>
            </w:tcMar>
            <w:vAlign w:val="center"/>
          </w:tcPr>
          <w:p>
            <w:pPr>
              <w:widowControl/>
              <w:jc w:val="left"/>
              <w:rPr>
                <w:color w:val="auto"/>
                <w:szCs w:val="21"/>
                <w:highlight w:val="none"/>
              </w:rPr>
            </w:pPr>
          </w:p>
        </w:tc>
        <w:tc>
          <w:tcPr>
            <w:tcW w:w="2812" w:type="dxa"/>
            <w:noWrap w:val="0"/>
            <w:tcMar>
              <w:top w:w="0" w:type="dxa"/>
              <w:left w:w="105" w:type="dxa"/>
              <w:bottom w:w="0" w:type="dxa"/>
              <w:right w:w="105" w:type="dxa"/>
            </w:tcMar>
            <w:vAlign w:val="center"/>
          </w:tcPr>
          <w:p>
            <w:pPr>
              <w:widowControl/>
              <w:jc w:val="left"/>
              <w:rPr>
                <w:color w:val="auto"/>
                <w:szCs w:val="21"/>
                <w:highlight w:val="none"/>
              </w:rPr>
            </w:pPr>
          </w:p>
        </w:tc>
        <w:tc>
          <w:tcPr>
            <w:tcW w:w="2527" w:type="dxa"/>
            <w:noWrap w:val="0"/>
            <w:tcMar>
              <w:top w:w="0" w:type="dxa"/>
              <w:left w:w="105" w:type="dxa"/>
              <w:bottom w:w="0" w:type="dxa"/>
              <w:right w:w="105" w:type="dxa"/>
            </w:tcMar>
            <w:vAlign w:val="center"/>
          </w:tcPr>
          <w:p>
            <w:pPr>
              <w:widowControl/>
              <w:jc w:val="left"/>
              <w:rPr>
                <w:color w:val="auto"/>
                <w:szCs w:val="21"/>
                <w:highlight w:val="none"/>
              </w:rPr>
            </w:pPr>
          </w:p>
        </w:tc>
        <w:tc>
          <w:tcPr>
            <w:tcW w:w="1388" w:type="dxa"/>
            <w:noWrap w:val="0"/>
            <w:tcMar>
              <w:top w:w="0" w:type="dxa"/>
              <w:left w:w="105" w:type="dxa"/>
              <w:bottom w:w="0" w:type="dxa"/>
              <w:right w:w="105" w:type="dxa"/>
            </w:tcMar>
            <w:vAlign w:val="center"/>
          </w:tcPr>
          <w:p>
            <w:pPr>
              <w:widowControl/>
              <w:jc w:val="lef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537" w:hRule="atLeast"/>
        </w:trPr>
        <w:tc>
          <w:tcPr>
            <w:tcW w:w="818" w:type="dxa"/>
            <w:noWrap w:val="0"/>
            <w:tcMar>
              <w:top w:w="0" w:type="dxa"/>
              <w:left w:w="105" w:type="dxa"/>
              <w:bottom w:w="0" w:type="dxa"/>
              <w:right w:w="105" w:type="dxa"/>
            </w:tcMar>
            <w:vAlign w:val="center"/>
          </w:tcPr>
          <w:p>
            <w:pPr>
              <w:widowControl/>
              <w:jc w:val="left"/>
              <w:rPr>
                <w:color w:val="auto"/>
                <w:szCs w:val="21"/>
                <w:highlight w:val="none"/>
              </w:rPr>
            </w:pPr>
          </w:p>
        </w:tc>
        <w:tc>
          <w:tcPr>
            <w:tcW w:w="1673" w:type="dxa"/>
            <w:noWrap w:val="0"/>
            <w:tcMar>
              <w:top w:w="0" w:type="dxa"/>
              <w:left w:w="105" w:type="dxa"/>
              <w:bottom w:w="0" w:type="dxa"/>
              <w:right w:w="105" w:type="dxa"/>
            </w:tcMar>
            <w:vAlign w:val="center"/>
          </w:tcPr>
          <w:p>
            <w:pPr>
              <w:widowControl/>
              <w:jc w:val="left"/>
              <w:rPr>
                <w:color w:val="auto"/>
                <w:szCs w:val="21"/>
                <w:highlight w:val="none"/>
              </w:rPr>
            </w:pPr>
          </w:p>
        </w:tc>
        <w:tc>
          <w:tcPr>
            <w:tcW w:w="2812" w:type="dxa"/>
            <w:noWrap w:val="0"/>
            <w:tcMar>
              <w:top w:w="0" w:type="dxa"/>
              <w:left w:w="105" w:type="dxa"/>
              <w:bottom w:w="0" w:type="dxa"/>
              <w:right w:w="105" w:type="dxa"/>
            </w:tcMar>
            <w:vAlign w:val="center"/>
          </w:tcPr>
          <w:p>
            <w:pPr>
              <w:widowControl/>
              <w:jc w:val="left"/>
              <w:rPr>
                <w:color w:val="auto"/>
                <w:szCs w:val="21"/>
                <w:highlight w:val="none"/>
              </w:rPr>
            </w:pPr>
          </w:p>
        </w:tc>
        <w:tc>
          <w:tcPr>
            <w:tcW w:w="2527" w:type="dxa"/>
            <w:noWrap w:val="0"/>
            <w:tcMar>
              <w:top w:w="0" w:type="dxa"/>
              <w:left w:w="105" w:type="dxa"/>
              <w:bottom w:w="0" w:type="dxa"/>
              <w:right w:w="105" w:type="dxa"/>
            </w:tcMar>
            <w:vAlign w:val="center"/>
          </w:tcPr>
          <w:p>
            <w:pPr>
              <w:widowControl/>
              <w:jc w:val="left"/>
              <w:rPr>
                <w:color w:val="auto"/>
                <w:szCs w:val="21"/>
                <w:highlight w:val="none"/>
              </w:rPr>
            </w:pPr>
          </w:p>
        </w:tc>
        <w:tc>
          <w:tcPr>
            <w:tcW w:w="1388" w:type="dxa"/>
            <w:noWrap w:val="0"/>
            <w:tcMar>
              <w:top w:w="0" w:type="dxa"/>
              <w:left w:w="105" w:type="dxa"/>
              <w:bottom w:w="0" w:type="dxa"/>
              <w:right w:w="105" w:type="dxa"/>
            </w:tcMar>
            <w:vAlign w:val="center"/>
          </w:tcPr>
          <w:p>
            <w:pPr>
              <w:widowControl/>
              <w:jc w:val="lef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537" w:hRule="atLeast"/>
        </w:trPr>
        <w:tc>
          <w:tcPr>
            <w:tcW w:w="818" w:type="dxa"/>
            <w:noWrap w:val="0"/>
            <w:tcMar>
              <w:top w:w="0" w:type="dxa"/>
              <w:left w:w="105" w:type="dxa"/>
              <w:bottom w:w="0" w:type="dxa"/>
              <w:right w:w="105" w:type="dxa"/>
            </w:tcMar>
            <w:vAlign w:val="center"/>
          </w:tcPr>
          <w:p>
            <w:pPr>
              <w:widowControl/>
              <w:jc w:val="left"/>
              <w:rPr>
                <w:color w:val="auto"/>
                <w:szCs w:val="21"/>
                <w:highlight w:val="none"/>
              </w:rPr>
            </w:pPr>
          </w:p>
        </w:tc>
        <w:tc>
          <w:tcPr>
            <w:tcW w:w="1673" w:type="dxa"/>
            <w:noWrap w:val="0"/>
            <w:tcMar>
              <w:top w:w="0" w:type="dxa"/>
              <w:left w:w="105" w:type="dxa"/>
              <w:bottom w:w="0" w:type="dxa"/>
              <w:right w:w="105" w:type="dxa"/>
            </w:tcMar>
            <w:vAlign w:val="center"/>
          </w:tcPr>
          <w:p>
            <w:pPr>
              <w:widowControl/>
              <w:jc w:val="left"/>
              <w:rPr>
                <w:color w:val="auto"/>
                <w:szCs w:val="21"/>
                <w:highlight w:val="none"/>
              </w:rPr>
            </w:pPr>
          </w:p>
        </w:tc>
        <w:tc>
          <w:tcPr>
            <w:tcW w:w="2812" w:type="dxa"/>
            <w:noWrap w:val="0"/>
            <w:tcMar>
              <w:top w:w="0" w:type="dxa"/>
              <w:left w:w="105" w:type="dxa"/>
              <w:bottom w:w="0" w:type="dxa"/>
              <w:right w:w="105" w:type="dxa"/>
            </w:tcMar>
            <w:vAlign w:val="center"/>
          </w:tcPr>
          <w:p>
            <w:pPr>
              <w:widowControl/>
              <w:jc w:val="left"/>
              <w:rPr>
                <w:color w:val="auto"/>
                <w:szCs w:val="21"/>
                <w:highlight w:val="none"/>
              </w:rPr>
            </w:pPr>
          </w:p>
        </w:tc>
        <w:tc>
          <w:tcPr>
            <w:tcW w:w="2527" w:type="dxa"/>
            <w:noWrap w:val="0"/>
            <w:tcMar>
              <w:top w:w="0" w:type="dxa"/>
              <w:left w:w="105" w:type="dxa"/>
              <w:bottom w:w="0" w:type="dxa"/>
              <w:right w:w="105" w:type="dxa"/>
            </w:tcMar>
            <w:vAlign w:val="center"/>
          </w:tcPr>
          <w:p>
            <w:pPr>
              <w:widowControl/>
              <w:jc w:val="left"/>
              <w:rPr>
                <w:color w:val="auto"/>
                <w:szCs w:val="21"/>
                <w:highlight w:val="none"/>
              </w:rPr>
            </w:pPr>
          </w:p>
        </w:tc>
        <w:tc>
          <w:tcPr>
            <w:tcW w:w="1388" w:type="dxa"/>
            <w:noWrap w:val="0"/>
            <w:tcMar>
              <w:top w:w="0" w:type="dxa"/>
              <w:left w:w="105" w:type="dxa"/>
              <w:bottom w:w="0" w:type="dxa"/>
              <w:right w:w="105" w:type="dxa"/>
            </w:tcMar>
            <w:vAlign w:val="center"/>
          </w:tcPr>
          <w:p>
            <w:pPr>
              <w:widowControl/>
              <w:jc w:val="lef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537" w:hRule="atLeast"/>
        </w:trPr>
        <w:tc>
          <w:tcPr>
            <w:tcW w:w="818" w:type="dxa"/>
            <w:noWrap w:val="0"/>
            <w:tcMar>
              <w:top w:w="0" w:type="dxa"/>
              <w:left w:w="105" w:type="dxa"/>
              <w:bottom w:w="0" w:type="dxa"/>
              <w:right w:w="105" w:type="dxa"/>
            </w:tcMar>
            <w:vAlign w:val="center"/>
          </w:tcPr>
          <w:p>
            <w:pPr>
              <w:widowControl/>
              <w:jc w:val="left"/>
              <w:rPr>
                <w:color w:val="auto"/>
                <w:szCs w:val="21"/>
                <w:highlight w:val="none"/>
              </w:rPr>
            </w:pPr>
          </w:p>
        </w:tc>
        <w:tc>
          <w:tcPr>
            <w:tcW w:w="1673" w:type="dxa"/>
            <w:noWrap w:val="0"/>
            <w:tcMar>
              <w:top w:w="0" w:type="dxa"/>
              <w:left w:w="105" w:type="dxa"/>
              <w:bottom w:w="0" w:type="dxa"/>
              <w:right w:w="105" w:type="dxa"/>
            </w:tcMar>
            <w:vAlign w:val="center"/>
          </w:tcPr>
          <w:p>
            <w:pPr>
              <w:widowControl/>
              <w:jc w:val="left"/>
              <w:rPr>
                <w:color w:val="auto"/>
                <w:szCs w:val="21"/>
                <w:highlight w:val="none"/>
              </w:rPr>
            </w:pPr>
          </w:p>
        </w:tc>
        <w:tc>
          <w:tcPr>
            <w:tcW w:w="2812" w:type="dxa"/>
            <w:noWrap w:val="0"/>
            <w:tcMar>
              <w:top w:w="0" w:type="dxa"/>
              <w:left w:w="105" w:type="dxa"/>
              <w:bottom w:w="0" w:type="dxa"/>
              <w:right w:w="105" w:type="dxa"/>
            </w:tcMar>
            <w:vAlign w:val="center"/>
          </w:tcPr>
          <w:p>
            <w:pPr>
              <w:widowControl/>
              <w:jc w:val="left"/>
              <w:rPr>
                <w:color w:val="auto"/>
                <w:szCs w:val="21"/>
                <w:highlight w:val="none"/>
              </w:rPr>
            </w:pPr>
          </w:p>
        </w:tc>
        <w:tc>
          <w:tcPr>
            <w:tcW w:w="2527" w:type="dxa"/>
            <w:noWrap w:val="0"/>
            <w:tcMar>
              <w:top w:w="0" w:type="dxa"/>
              <w:left w:w="105" w:type="dxa"/>
              <w:bottom w:w="0" w:type="dxa"/>
              <w:right w:w="105" w:type="dxa"/>
            </w:tcMar>
            <w:vAlign w:val="center"/>
          </w:tcPr>
          <w:p>
            <w:pPr>
              <w:widowControl/>
              <w:jc w:val="left"/>
              <w:rPr>
                <w:color w:val="auto"/>
                <w:szCs w:val="21"/>
                <w:highlight w:val="none"/>
              </w:rPr>
            </w:pPr>
          </w:p>
        </w:tc>
        <w:tc>
          <w:tcPr>
            <w:tcW w:w="1388" w:type="dxa"/>
            <w:noWrap w:val="0"/>
            <w:tcMar>
              <w:top w:w="0" w:type="dxa"/>
              <w:left w:w="105" w:type="dxa"/>
              <w:bottom w:w="0" w:type="dxa"/>
              <w:right w:w="105" w:type="dxa"/>
            </w:tcMar>
            <w:vAlign w:val="center"/>
          </w:tcPr>
          <w:p>
            <w:pPr>
              <w:widowControl/>
              <w:jc w:val="lef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546" w:hRule="atLeast"/>
        </w:trPr>
        <w:tc>
          <w:tcPr>
            <w:tcW w:w="818" w:type="dxa"/>
            <w:noWrap w:val="0"/>
            <w:tcMar>
              <w:top w:w="0" w:type="dxa"/>
              <w:left w:w="105" w:type="dxa"/>
              <w:bottom w:w="0" w:type="dxa"/>
              <w:right w:w="105" w:type="dxa"/>
            </w:tcMar>
            <w:vAlign w:val="center"/>
          </w:tcPr>
          <w:p>
            <w:pPr>
              <w:widowControl/>
              <w:jc w:val="left"/>
              <w:rPr>
                <w:color w:val="auto"/>
                <w:szCs w:val="21"/>
                <w:highlight w:val="none"/>
              </w:rPr>
            </w:pPr>
          </w:p>
        </w:tc>
        <w:tc>
          <w:tcPr>
            <w:tcW w:w="1673" w:type="dxa"/>
            <w:noWrap w:val="0"/>
            <w:tcMar>
              <w:top w:w="0" w:type="dxa"/>
              <w:left w:w="105" w:type="dxa"/>
              <w:bottom w:w="0" w:type="dxa"/>
              <w:right w:w="105" w:type="dxa"/>
            </w:tcMar>
            <w:vAlign w:val="center"/>
          </w:tcPr>
          <w:p>
            <w:pPr>
              <w:widowControl/>
              <w:jc w:val="left"/>
              <w:rPr>
                <w:color w:val="auto"/>
                <w:szCs w:val="21"/>
                <w:highlight w:val="none"/>
              </w:rPr>
            </w:pPr>
          </w:p>
        </w:tc>
        <w:tc>
          <w:tcPr>
            <w:tcW w:w="2812" w:type="dxa"/>
            <w:noWrap w:val="0"/>
            <w:tcMar>
              <w:top w:w="0" w:type="dxa"/>
              <w:left w:w="105" w:type="dxa"/>
              <w:bottom w:w="0" w:type="dxa"/>
              <w:right w:w="105" w:type="dxa"/>
            </w:tcMar>
            <w:vAlign w:val="center"/>
          </w:tcPr>
          <w:p>
            <w:pPr>
              <w:widowControl/>
              <w:jc w:val="left"/>
              <w:rPr>
                <w:color w:val="auto"/>
                <w:szCs w:val="21"/>
                <w:highlight w:val="none"/>
              </w:rPr>
            </w:pPr>
          </w:p>
        </w:tc>
        <w:tc>
          <w:tcPr>
            <w:tcW w:w="2527" w:type="dxa"/>
            <w:noWrap w:val="0"/>
            <w:tcMar>
              <w:top w:w="0" w:type="dxa"/>
              <w:left w:w="105" w:type="dxa"/>
              <w:bottom w:w="0" w:type="dxa"/>
              <w:right w:w="105" w:type="dxa"/>
            </w:tcMar>
            <w:vAlign w:val="center"/>
          </w:tcPr>
          <w:p>
            <w:pPr>
              <w:widowControl/>
              <w:jc w:val="left"/>
              <w:rPr>
                <w:color w:val="auto"/>
                <w:szCs w:val="21"/>
                <w:highlight w:val="none"/>
              </w:rPr>
            </w:pPr>
          </w:p>
        </w:tc>
        <w:tc>
          <w:tcPr>
            <w:tcW w:w="1388" w:type="dxa"/>
            <w:noWrap w:val="0"/>
            <w:tcMar>
              <w:top w:w="0" w:type="dxa"/>
              <w:left w:w="105" w:type="dxa"/>
              <w:bottom w:w="0" w:type="dxa"/>
              <w:right w:w="105" w:type="dxa"/>
            </w:tcMar>
            <w:vAlign w:val="center"/>
          </w:tcPr>
          <w:p>
            <w:pPr>
              <w:widowControl/>
              <w:jc w:val="left"/>
              <w:rPr>
                <w:color w:val="auto"/>
                <w:szCs w:val="21"/>
                <w:highlight w:val="none"/>
              </w:rPr>
            </w:pPr>
          </w:p>
        </w:tc>
      </w:tr>
    </w:tbl>
    <w:p>
      <w:pPr>
        <w:pStyle w:val="16"/>
        <w:rPr>
          <w:color w:val="auto"/>
          <w:highlight w:val="none"/>
        </w:rPr>
      </w:pPr>
      <w:r>
        <w:rPr>
          <w:b/>
          <w:color w:val="auto"/>
          <w:highlight w:val="none"/>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pPr>
        <w:pStyle w:val="11"/>
        <w:widowControl/>
        <w:spacing w:before="75" w:beforeAutospacing="0" w:after="75" w:afterAutospacing="0" w:line="375" w:lineRule="atLeast"/>
        <w:rPr>
          <w:rFonts w:hint="eastAsia" w:eastAsia="宋体"/>
          <w:b/>
          <w:color w:val="auto"/>
          <w:highlight w:val="none"/>
          <w:lang w:eastAsia="zh-CN"/>
        </w:rPr>
      </w:pPr>
      <w:r>
        <w:rPr>
          <w:b/>
          <w:color w:val="auto"/>
          <w:highlight w:val="none"/>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pPr>
        <w:pStyle w:val="11"/>
        <w:widowControl/>
        <w:spacing w:before="75" w:beforeAutospacing="0" w:after="75" w:afterAutospacing="0" w:line="375" w:lineRule="atLeast"/>
        <w:rPr>
          <w:rFonts w:hint="eastAsia" w:eastAsia="宋体"/>
          <w:b/>
          <w:color w:val="auto"/>
          <w:highlight w:val="none"/>
          <w:lang w:eastAsia="zh-CN"/>
        </w:rPr>
      </w:pPr>
    </w:p>
    <w:p>
      <w:pPr>
        <w:pStyle w:val="11"/>
        <w:widowControl/>
        <w:spacing w:before="75" w:beforeAutospacing="0" w:after="75" w:afterAutospacing="0" w:line="375" w:lineRule="atLeast"/>
        <w:rPr>
          <w:color w:val="auto"/>
          <w:highlight w:val="none"/>
        </w:rPr>
      </w:pPr>
      <w:r>
        <w:rPr>
          <w:rFonts w:hint="eastAsia" w:ascii="宋体" w:hAnsi="宋体" w:cs="宋体"/>
          <w:color w:val="auto"/>
          <w:highlight w:val="none"/>
        </w:rPr>
        <w:t>供应商代表签字： _________________</w:t>
      </w:r>
    </w:p>
    <w:p>
      <w:pPr>
        <w:pStyle w:val="11"/>
        <w:widowControl/>
        <w:spacing w:before="75" w:beforeAutospacing="0" w:after="75" w:afterAutospacing="0" w:line="420" w:lineRule="atLeast"/>
        <w:rPr>
          <w:rFonts w:hint="eastAsia" w:ascii="宋体" w:hAnsi="宋体" w:cs="宋体"/>
          <w:color w:val="auto"/>
          <w:highlight w:val="none"/>
        </w:rPr>
      </w:pPr>
    </w:p>
    <w:p>
      <w:pPr>
        <w:pStyle w:val="11"/>
        <w:widowControl/>
        <w:spacing w:before="75" w:beforeAutospacing="0" w:after="75" w:afterAutospacing="0" w:line="420" w:lineRule="atLeast"/>
        <w:rPr>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附件6    </w:t>
      </w:r>
      <w:r>
        <w:rPr>
          <w:rStyle w:val="15"/>
          <w:rFonts w:hint="eastAsia" w:ascii="宋体" w:hAnsi="宋体" w:cs="宋体"/>
          <w:color w:val="auto"/>
          <w:highlight w:val="none"/>
        </w:rPr>
        <w:t>     相关技术、商务、服务响应承诺及资料</w:t>
      </w:r>
    </w:p>
    <w:p>
      <w:pPr>
        <w:pStyle w:val="11"/>
        <w:widowControl/>
        <w:spacing w:before="75" w:beforeAutospacing="0" w:after="75" w:afterAutospacing="0" w:line="420" w:lineRule="atLeast"/>
        <w:rPr>
          <w:color w:val="auto"/>
          <w:highlight w:val="none"/>
        </w:rPr>
      </w:pPr>
      <w:r>
        <w:rPr>
          <w:rFonts w:hint="eastAsia" w:ascii="宋体" w:hAnsi="宋体" w:cs="宋体"/>
          <w:color w:val="auto"/>
          <w:highlight w:val="none"/>
        </w:rPr>
        <w:t> </w:t>
      </w:r>
    </w:p>
    <w:p>
      <w:pPr>
        <w:pStyle w:val="11"/>
        <w:widowControl/>
        <w:spacing w:before="75" w:beforeAutospacing="0" w:after="75" w:afterAutospacing="0" w:line="495" w:lineRule="atLeast"/>
        <w:rPr>
          <w:color w:val="auto"/>
          <w:highlight w:val="none"/>
        </w:rPr>
      </w:pPr>
      <w:r>
        <w:rPr>
          <w:rStyle w:val="15"/>
          <w:rFonts w:hint="eastAsia" w:ascii="宋体" w:hAnsi="宋体" w:cs="宋体"/>
          <w:color w:val="auto"/>
          <w:highlight w:val="none"/>
        </w:rPr>
        <w:t>说明：    </w:t>
      </w:r>
    </w:p>
    <w:p>
      <w:pPr>
        <w:pStyle w:val="16"/>
        <w:ind w:firstLine="480"/>
        <w:rPr>
          <w:color w:val="auto"/>
          <w:highlight w:val="none"/>
        </w:rPr>
      </w:pPr>
      <w:r>
        <w:rPr>
          <w:color w:val="auto"/>
          <w:highlight w:val="none"/>
        </w:rPr>
        <w:t>1.采购人或采购代理机构可以根据项目的特点和需要，在磋商文件中对供应商需要提供的相关技术、商务、服务响应承诺及资料进行具体规定或附表格式，供应商应按照磋商文件要求提供相关承诺及材料，并加盖供应商单位公章。</w:t>
      </w:r>
    </w:p>
    <w:p>
      <w:pPr>
        <w:pStyle w:val="16"/>
        <w:ind w:firstLine="480"/>
        <w:rPr>
          <w:color w:val="auto"/>
          <w:highlight w:val="none"/>
        </w:rPr>
      </w:pPr>
      <w:r>
        <w:rPr>
          <w:color w:val="auto"/>
          <w:highlight w:val="none"/>
        </w:rPr>
        <w:t>2.如果没有特别要求的，供应商根据磋商文件的要求以及特点，提供相关技术、商务、服务响应承诺及资料，格式自拟。</w:t>
      </w:r>
    </w:p>
    <w:p>
      <w:pPr>
        <w:pStyle w:val="11"/>
        <w:widowControl/>
        <w:spacing w:before="75" w:beforeAutospacing="0" w:after="75" w:afterAutospacing="0" w:line="495" w:lineRule="atLeast"/>
        <w:rPr>
          <w:color w:val="auto"/>
          <w:highlight w:val="none"/>
        </w:rPr>
      </w:pPr>
      <w:r>
        <w:rPr>
          <w:rStyle w:val="15"/>
          <w:rFonts w:hint="eastAsia" w:ascii="宋体" w:hAnsi="宋体" w:cs="宋体"/>
          <w:color w:val="auto"/>
          <w:highlight w:val="none"/>
        </w:rPr>
        <w:t> </w:t>
      </w:r>
    </w:p>
    <w:p>
      <w:pPr>
        <w:pStyle w:val="11"/>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供应商代表：</w:t>
      </w:r>
      <w:r>
        <w:rPr>
          <w:rFonts w:hint="eastAsia" w:ascii="宋体" w:hAnsi="宋体" w:cs="宋体"/>
          <w:color w:val="auto"/>
          <w:highlight w:val="none"/>
          <w:u w:val="single"/>
        </w:rPr>
        <w:t>             （签字） </w:t>
      </w:r>
    </w:p>
    <w:p>
      <w:pPr>
        <w:pStyle w:val="11"/>
        <w:widowControl/>
        <w:spacing w:before="75" w:beforeAutospacing="0" w:after="75" w:afterAutospacing="0" w:line="435" w:lineRule="atLeast"/>
        <w:jc w:val="both"/>
        <w:rPr>
          <w:rFonts w:hint="eastAsia"/>
          <w:color w:val="auto"/>
          <w:highlight w:val="none"/>
        </w:rPr>
      </w:pPr>
      <w:r>
        <w:rPr>
          <w:rFonts w:hint="eastAsia" w:ascii="宋体" w:hAnsi="宋体" w:cs="宋体"/>
          <w:color w:val="auto"/>
          <w:highlight w:val="none"/>
        </w:rPr>
        <w:t>供应商名称：</w:t>
      </w:r>
      <w:r>
        <w:rPr>
          <w:rFonts w:hint="eastAsia" w:ascii="宋体" w:hAnsi="宋体" w:cs="宋体"/>
          <w:color w:val="auto"/>
          <w:highlight w:val="none"/>
          <w:u w:val="single"/>
        </w:rPr>
        <w:t xml:space="preserve">         （全称并加盖公章）  </w:t>
      </w:r>
    </w:p>
    <w:p>
      <w:pPr>
        <w:pStyle w:val="11"/>
        <w:widowControl/>
        <w:spacing w:before="75" w:beforeAutospacing="0" w:after="75" w:afterAutospacing="0" w:line="435" w:lineRule="atLeast"/>
        <w:rPr>
          <w:color w:val="auto"/>
          <w:highlight w:val="none"/>
        </w:rPr>
      </w:pPr>
      <w:r>
        <w:rPr>
          <w:rFonts w:hint="eastAsia" w:ascii="宋体" w:hAnsi="宋体" w:cs="宋体"/>
          <w:color w:val="auto"/>
          <w:highlight w:val="none"/>
        </w:rPr>
        <w:t>日  期： </w:t>
      </w:r>
      <w:r>
        <w:rPr>
          <w:rFonts w:hint="eastAsia" w:ascii="宋体" w:hAnsi="宋体" w:cs="宋体"/>
          <w:color w:val="auto"/>
          <w:highlight w:val="none"/>
          <w:u w:val="single"/>
        </w:rPr>
        <w:t>    </w:t>
      </w:r>
      <w:r>
        <w:rPr>
          <w:rFonts w:hint="eastAsia" w:ascii="宋体" w:hAnsi="宋体" w:cs="宋体"/>
          <w:color w:val="auto"/>
          <w:highlight w:val="none"/>
        </w:rPr>
        <w:t>年 </w:t>
      </w:r>
      <w:r>
        <w:rPr>
          <w:rFonts w:hint="eastAsia" w:ascii="宋体" w:hAnsi="宋体" w:cs="宋体"/>
          <w:color w:val="auto"/>
          <w:highlight w:val="none"/>
          <w:u w:val="single"/>
        </w:rPr>
        <w:t>   </w:t>
      </w:r>
      <w:r>
        <w:rPr>
          <w:rFonts w:hint="eastAsia" w:ascii="宋体" w:hAnsi="宋体" w:cs="宋体"/>
          <w:color w:val="auto"/>
          <w:highlight w:val="none"/>
        </w:rPr>
        <w:t>月 </w:t>
      </w:r>
      <w:r>
        <w:rPr>
          <w:rFonts w:hint="eastAsia" w:ascii="宋体" w:hAnsi="宋体" w:cs="宋体"/>
          <w:color w:val="auto"/>
          <w:highlight w:val="none"/>
          <w:u w:val="single"/>
        </w:rPr>
        <w:t>   </w:t>
      </w:r>
      <w:r>
        <w:rPr>
          <w:rFonts w:hint="eastAsia" w:ascii="宋体" w:hAnsi="宋体" w:cs="宋体"/>
          <w:color w:val="auto"/>
          <w:highlight w:val="none"/>
        </w:rPr>
        <w:t>日</w:t>
      </w:r>
    </w:p>
    <w:p>
      <w:pPr>
        <w:pStyle w:val="11"/>
        <w:widowControl/>
        <w:spacing w:before="75" w:beforeAutospacing="0" w:after="75" w:afterAutospacing="0" w:line="420" w:lineRule="atLeast"/>
        <w:ind w:firstLine="480"/>
        <w:rPr>
          <w:rFonts w:hint="eastAsia" w:ascii="宋体" w:hAnsi="宋体" w:cs="宋体"/>
          <w:color w:val="auto"/>
          <w:highlight w:val="none"/>
        </w:rPr>
      </w:pPr>
      <w:r>
        <w:rPr>
          <w:rFonts w:hint="eastAsia" w:ascii="宋体" w:hAnsi="宋体" w:cs="宋体"/>
          <w:color w:val="auto"/>
          <w:highlight w:val="none"/>
        </w:rPr>
        <w:t> </w:t>
      </w:r>
    </w:p>
    <w:p>
      <w:pPr>
        <w:pStyle w:val="16"/>
        <w:jc w:val="center"/>
        <w:outlineLvl w:val="2"/>
        <w:rPr>
          <w:color w:val="auto"/>
          <w:highlight w:val="none"/>
        </w:rPr>
      </w:pPr>
      <w:r>
        <w:rPr>
          <w:rFonts w:ascii="宋体" w:hAnsi="宋体" w:cs="宋体"/>
          <w:color w:val="auto"/>
          <w:sz w:val="24"/>
          <w:szCs w:val="24"/>
          <w:highlight w:val="none"/>
        </w:rPr>
        <w:br w:type="page"/>
      </w:r>
      <w:r>
        <w:rPr>
          <w:b/>
          <w:color w:val="auto"/>
          <w:sz w:val="28"/>
          <w:highlight w:val="none"/>
        </w:rPr>
        <w:t>附件</w:t>
      </w:r>
      <w:r>
        <w:rPr>
          <w:rFonts w:hint="eastAsia"/>
          <w:b/>
          <w:color w:val="auto"/>
          <w:sz w:val="28"/>
          <w:highlight w:val="none"/>
          <w:lang w:val="en-US" w:eastAsia="zh-CN"/>
        </w:rPr>
        <w:t>7</w:t>
      </w:r>
      <w:r>
        <w:rPr>
          <w:b/>
          <w:color w:val="auto"/>
          <w:sz w:val="28"/>
          <w:highlight w:val="none"/>
        </w:rPr>
        <w:t xml:space="preserve"> 要求作为响应文件组成部分的其他内容（若有）</w:t>
      </w:r>
    </w:p>
    <w:p>
      <w:pPr>
        <w:pStyle w:val="16"/>
        <w:ind w:firstLine="480"/>
        <w:rPr>
          <w:color w:val="auto"/>
          <w:highlight w:val="none"/>
        </w:rPr>
      </w:pPr>
      <w:r>
        <w:rPr>
          <w:color w:val="auto"/>
          <w:highlight w:val="none"/>
        </w:rPr>
        <w:t>说明：</w:t>
      </w:r>
    </w:p>
    <w:p>
      <w:pPr>
        <w:pStyle w:val="16"/>
        <w:ind w:firstLine="480"/>
        <w:rPr>
          <w:color w:val="auto"/>
          <w:highlight w:val="none"/>
        </w:rPr>
      </w:pPr>
      <w:r>
        <w:rPr>
          <w:color w:val="auto"/>
          <w:highlight w:val="none"/>
        </w:rPr>
        <w:t>1、采购人或采购代理机构可以根据项目的特点和需要，在磋商文件中对要求作为响应文件组成部分的其他内容进行具体规定或附表格式，供应商应按照磋商文件要求提供相关承诺及材料，并加盖供应商单位公章。</w:t>
      </w:r>
    </w:p>
    <w:p>
      <w:pPr>
        <w:pStyle w:val="16"/>
        <w:ind w:firstLine="480"/>
        <w:rPr>
          <w:rFonts w:hint="eastAsia" w:eastAsia="宋体"/>
          <w:color w:val="auto"/>
          <w:highlight w:val="none"/>
          <w:lang w:eastAsia="zh-CN"/>
        </w:rPr>
      </w:pPr>
      <w:r>
        <w:rPr>
          <w:color w:val="auto"/>
          <w:highlight w:val="none"/>
        </w:rPr>
        <w:t>2、供应商根据自身实际情况编写有关资料包括如供应商单位简介、竞争性磋商文件要求提供或供应商</w:t>
      </w:r>
      <w:r>
        <w:rPr>
          <w:rFonts w:hint="eastAsia"/>
          <w:color w:val="auto"/>
          <w:highlight w:val="none"/>
          <w:lang w:eastAsia="zh-CN"/>
        </w:rPr>
        <w:t>自己</w:t>
      </w:r>
      <w:r>
        <w:rPr>
          <w:color w:val="auto"/>
          <w:highlight w:val="none"/>
        </w:rPr>
        <w:t>认为体现自身优势，需要补充说明的其它资料，格式自拟。</w:t>
      </w:r>
    </w:p>
    <w:p>
      <w:pPr>
        <w:pStyle w:val="16"/>
        <w:ind w:firstLine="480"/>
        <w:rPr>
          <w:rFonts w:hint="eastAsia" w:eastAsia="宋体"/>
          <w:color w:val="auto"/>
          <w:highlight w:val="none"/>
          <w:lang w:eastAsia="zh-CN"/>
        </w:rPr>
      </w:pPr>
    </w:p>
    <w:p>
      <w:pPr>
        <w:pStyle w:val="16"/>
        <w:ind w:firstLine="480"/>
        <w:rPr>
          <w:rFonts w:hint="eastAsia" w:eastAsia="宋体"/>
          <w:color w:val="auto"/>
          <w:highlight w:val="none"/>
          <w:lang w:eastAsia="zh-CN"/>
        </w:rPr>
      </w:pPr>
    </w:p>
    <w:p>
      <w:pPr>
        <w:pStyle w:val="16"/>
        <w:ind w:firstLine="480"/>
        <w:rPr>
          <w:rFonts w:hint="eastAsia" w:eastAsia="宋体"/>
          <w:color w:val="auto"/>
          <w:highlight w:val="none"/>
          <w:lang w:eastAsia="zh-CN"/>
        </w:rPr>
      </w:pPr>
    </w:p>
    <w:p>
      <w:pPr>
        <w:pStyle w:val="16"/>
        <w:ind w:firstLine="480"/>
        <w:rPr>
          <w:rFonts w:hint="eastAsia" w:eastAsia="宋体"/>
          <w:color w:val="auto"/>
          <w:highlight w:val="none"/>
          <w:lang w:eastAsia="zh-CN"/>
        </w:rPr>
      </w:pPr>
    </w:p>
    <w:p>
      <w:pPr>
        <w:pStyle w:val="16"/>
        <w:ind w:firstLine="480"/>
        <w:rPr>
          <w:color w:val="auto"/>
          <w:highlight w:val="none"/>
        </w:rPr>
      </w:pPr>
      <w:r>
        <w:rPr>
          <w:color w:val="auto"/>
          <w:highlight w:val="none"/>
        </w:rPr>
        <w:t>供应商代表</w:t>
      </w:r>
      <w:r>
        <w:rPr>
          <w:color w:val="auto"/>
          <w:highlight w:val="none"/>
          <w:u w:val="single"/>
        </w:rPr>
        <w:t>　　　（签字）</w:t>
      </w:r>
    </w:p>
    <w:p>
      <w:pPr>
        <w:pStyle w:val="16"/>
        <w:ind w:firstLine="480"/>
        <w:rPr>
          <w:color w:val="auto"/>
          <w:highlight w:val="none"/>
        </w:rPr>
      </w:pPr>
      <w:r>
        <w:rPr>
          <w:color w:val="auto"/>
          <w:highlight w:val="none"/>
        </w:rPr>
        <w:t>供应商名称</w:t>
      </w:r>
      <w:r>
        <w:rPr>
          <w:color w:val="auto"/>
          <w:highlight w:val="none"/>
          <w:u w:val="single"/>
        </w:rPr>
        <w:t>　　　（全称并加盖公章）　　　</w:t>
      </w:r>
    </w:p>
    <w:p>
      <w:pPr>
        <w:pStyle w:val="16"/>
        <w:ind w:firstLine="480"/>
        <w:rPr>
          <w:color w:val="auto"/>
          <w:highlight w:val="none"/>
        </w:rPr>
      </w:pPr>
      <w:r>
        <w:rPr>
          <w:color w:val="auto"/>
          <w:highlight w:val="none"/>
        </w:rPr>
        <w:t>日期：</w:t>
      </w:r>
      <w:r>
        <w:rPr>
          <w:color w:val="auto"/>
          <w:highlight w:val="none"/>
          <w:u w:val="single"/>
        </w:rPr>
        <w:t>　　　</w:t>
      </w:r>
      <w:r>
        <w:rPr>
          <w:color w:val="auto"/>
          <w:highlight w:val="none"/>
        </w:rPr>
        <w:t>年</w:t>
      </w:r>
      <w:r>
        <w:rPr>
          <w:color w:val="auto"/>
          <w:highlight w:val="none"/>
          <w:u w:val="single"/>
        </w:rPr>
        <w:t>　　　</w:t>
      </w:r>
      <w:r>
        <w:rPr>
          <w:color w:val="auto"/>
          <w:highlight w:val="none"/>
        </w:rPr>
        <w:t>月</w:t>
      </w:r>
      <w:r>
        <w:rPr>
          <w:color w:val="auto"/>
          <w:highlight w:val="none"/>
          <w:u w:val="single"/>
        </w:rPr>
        <w:t>　　　</w:t>
      </w:r>
      <w:r>
        <w:rPr>
          <w:color w:val="auto"/>
          <w:highlight w:val="none"/>
        </w:rPr>
        <w:t>日</w:t>
      </w:r>
    </w:p>
    <w:p>
      <w:pPr>
        <w:pStyle w:val="11"/>
        <w:widowControl/>
        <w:rPr>
          <w:color w:val="auto"/>
          <w:highlight w:val="none"/>
        </w:rPr>
      </w:pPr>
      <w:r>
        <w:rPr>
          <w:color w:val="auto"/>
          <w:highlight w:val="none"/>
        </w:rPr>
        <w:t xml:space="preserve"> </w:t>
      </w:r>
    </w:p>
    <w:p/>
    <w:sectPr>
      <w:footerReference r:id="rId3" w:type="default"/>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sans-serif">
    <w:altName w:val="华文中宋"/>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微软雅黑">
    <w:altName w:val="黑体"/>
    <w:panose1 w:val="020B0503020204020204"/>
    <w:charset w:val="86"/>
    <w:family w:val="auto"/>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">
              <v:fill on="f" focussize="0,0"/>
              <v:stroke on="f" weight="0.5pt"/>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09DCFD"/>
    <w:multiLevelType w:val="singleLevel"/>
    <w:tmpl w:val="C309DCFD"/>
    <w:lvl w:ilvl="0" w:tentative="0">
      <w:start w:val="1"/>
      <w:numFmt w:val="decimal"/>
      <w:suff w:val="nothing"/>
      <w:lvlText w:val="%1、"/>
      <w:lvlJc w:val="left"/>
    </w:lvl>
  </w:abstractNum>
  <w:abstractNum w:abstractNumId="1">
    <w:nsid w:val="D63B56B4"/>
    <w:multiLevelType w:val="singleLevel"/>
    <w:tmpl w:val="D63B56B4"/>
    <w:lvl w:ilvl="0" w:tentative="0">
      <w:start w:val="12"/>
      <w:numFmt w:val="decimal"/>
      <w:lvlText w:val="%1."/>
      <w:lvlJc w:val="left"/>
      <w:pPr>
        <w:tabs>
          <w:tab w:val="left" w:pos="312"/>
        </w:tabs>
      </w:pPr>
    </w:lvl>
  </w:abstractNum>
  <w:abstractNum w:abstractNumId="2">
    <w:nsid w:val="44A6D73F"/>
    <w:multiLevelType w:val="singleLevel"/>
    <w:tmpl w:val="44A6D73F"/>
    <w:lvl w:ilvl="0" w:tentative="0">
      <w:start w:val="3"/>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mYzViYzBiZmZkYzkyZjBlZTJiYjlhNzIxMjhjNDMifQ=="/>
  </w:docVars>
  <w:rsids>
    <w:rsidRoot w:val="316C6040"/>
    <w:rsid w:val="006D5272"/>
    <w:rsid w:val="014C6B51"/>
    <w:rsid w:val="018A5525"/>
    <w:rsid w:val="03FFE7E7"/>
    <w:rsid w:val="04637086"/>
    <w:rsid w:val="04E3218A"/>
    <w:rsid w:val="08F849FC"/>
    <w:rsid w:val="09194043"/>
    <w:rsid w:val="0BC37175"/>
    <w:rsid w:val="0D186481"/>
    <w:rsid w:val="10D63253"/>
    <w:rsid w:val="13B54A2A"/>
    <w:rsid w:val="13B862C8"/>
    <w:rsid w:val="14624480"/>
    <w:rsid w:val="15127C5A"/>
    <w:rsid w:val="158430FE"/>
    <w:rsid w:val="1720665E"/>
    <w:rsid w:val="174A7237"/>
    <w:rsid w:val="179F55EE"/>
    <w:rsid w:val="18C2329F"/>
    <w:rsid w:val="197270CD"/>
    <w:rsid w:val="1E087E4C"/>
    <w:rsid w:val="21434FCD"/>
    <w:rsid w:val="219A0DBB"/>
    <w:rsid w:val="22A65BF9"/>
    <w:rsid w:val="26747E2C"/>
    <w:rsid w:val="2B4F2EB5"/>
    <w:rsid w:val="2FBC221E"/>
    <w:rsid w:val="316C6040"/>
    <w:rsid w:val="341D5FA7"/>
    <w:rsid w:val="36392E40"/>
    <w:rsid w:val="36CC4EF3"/>
    <w:rsid w:val="3AAD5BAB"/>
    <w:rsid w:val="3FFA44EC"/>
    <w:rsid w:val="40083610"/>
    <w:rsid w:val="44F271D6"/>
    <w:rsid w:val="451E4DA0"/>
    <w:rsid w:val="47C6205A"/>
    <w:rsid w:val="4939180A"/>
    <w:rsid w:val="49EC71E4"/>
    <w:rsid w:val="4C4874E2"/>
    <w:rsid w:val="4E545F8B"/>
    <w:rsid w:val="4EAF3848"/>
    <w:rsid w:val="4EE124B6"/>
    <w:rsid w:val="53090B66"/>
    <w:rsid w:val="538B0753"/>
    <w:rsid w:val="54051744"/>
    <w:rsid w:val="54646E83"/>
    <w:rsid w:val="54883A43"/>
    <w:rsid w:val="556E60E8"/>
    <w:rsid w:val="56EB3266"/>
    <w:rsid w:val="587C0C3F"/>
    <w:rsid w:val="5CD1707F"/>
    <w:rsid w:val="5CD54DC2"/>
    <w:rsid w:val="5F4B136B"/>
    <w:rsid w:val="661459B9"/>
    <w:rsid w:val="670F0ED0"/>
    <w:rsid w:val="693D10AD"/>
    <w:rsid w:val="69B227CF"/>
    <w:rsid w:val="6AFF23F0"/>
    <w:rsid w:val="6EFB6D71"/>
    <w:rsid w:val="70120AEA"/>
    <w:rsid w:val="70A13FB4"/>
    <w:rsid w:val="714479C8"/>
    <w:rsid w:val="75A60694"/>
    <w:rsid w:val="795135CA"/>
    <w:rsid w:val="7DBC3708"/>
    <w:rsid w:val="7DF368FA"/>
    <w:rsid w:val="7F5931D8"/>
    <w:rsid w:val="7FD85EAB"/>
    <w:rsid w:val="DFF76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center"/>
      <w:outlineLvl w:val="0"/>
    </w:pPr>
    <w:rPr>
      <w:rFonts w:hint="eastAsia" w:ascii="宋体" w:hAnsi="宋体" w:eastAsia="宋体" w:cs="宋体"/>
      <w:b/>
      <w:kern w:val="44"/>
      <w:sz w:val="44"/>
      <w:szCs w:val="44"/>
      <w:lang w:bidi="ar"/>
    </w:rPr>
  </w:style>
  <w:style w:type="paragraph" w:styleId="3">
    <w:name w:val="heading 3"/>
    <w:basedOn w:val="1"/>
    <w:next w:val="1"/>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Normal Indent"/>
    <w:basedOn w:val="1"/>
    <w:next w:val="5"/>
    <w:qFormat/>
    <w:uiPriority w:val="0"/>
    <w:pPr>
      <w:ind w:firstLine="420"/>
    </w:pPr>
  </w:style>
  <w:style w:type="paragraph" w:styleId="5">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annotation text"/>
    <w:basedOn w:val="1"/>
    <w:qFormat/>
    <w:uiPriority w:val="0"/>
    <w:pPr>
      <w:jc w:val="left"/>
    </w:pPr>
  </w:style>
  <w:style w:type="paragraph" w:styleId="7">
    <w:name w:val="Body Text Indent"/>
    <w:basedOn w:val="1"/>
    <w:next w:val="8"/>
    <w:qFormat/>
    <w:uiPriority w:val="0"/>
    <w:pPr>
      <w:spacing w:after="120" w:afterLines="0" w:afterAutospacing="0"/>
      <w:ind w:left="420" w:leftChars="200"/>
    </w:pPr>
  </w:style>
  <w:style w:type="paragraph" w:customStyle="1" w:styleId="8">
    <w:name w:val="样式 标题 3 + (中文) 黑体 小四 非加粗 段前: 7.8 磅 段后: 0 磅 行距: 固定值 20 磅"/>
    <w:basedOn w:val="3"/>
    <w:qFormat/>
    <w:uiPriority w:val="0"/>
    <w:pPr>
      <w:tabs>
        <w:tab w:val="left" w:pos="5852"/>
      </w:tabs>
      <w:spacing w:line="400" w:lineRule="exact"/>
    </w:pPr>
    <w:rPr>
      <w:rFonts w:eastAsia="黑体" w:cs="宋体"/>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toc 1"/>
    <w:basedOn w:val="1"/>
    <w:next w:val="1"/>
    <w:qFormat/>
    <w:uiPriority w:val="0"/>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2"/>
    <w:basedOn w:val="7"/>
    <w:qFormat/>
    <w:uiPriority w:val="0"/>
    <w:pPr>
      <w:ind w:firstLine="420" w:firstLineChars="200"/>
    </w:pPr>
  </w:style>
  <w:style w:type="character" w:styleId="15">
    <w:name w:val="Strong"/>
    <w:basedOn w:val="14"/>
    <w:qFormat/>
    <w:uiPriority w:val="0"/>
    <w:rPr>
      <w:b/>
    </w:rPr>
  </w:style>
  <w:style w:type="paragraph" w:customStyle="1" w:styleId="16">
    <w:name w:val="null3"/>
    <w:qFormat/>
    <w:uiPriority w:val="0"/>
    <w:rPr>
      <w:rFonts w:hint="eastAsia" w:ascii="Calibri" w:hAnsi="Calibri" w:eastAsia="宋体" w:cs="Times New Roman"/>
      <w:lang w:val="en-US" w:eastAsia="zh-Han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4078</Words>
  <Characters>4369</Characters>
  <Lines>0</Lines>
  <Paragraphs>0</Paragraphs>
  <TotalTime>50</TotalTime>
  <ScaleCrop>false</ScaleCrop>
  <LinksUpToDate>false</LinksUpToDate>
  <CharactersWithSpaces>4461</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2025-02-07T01:35:00Z</dcterms:created>
  <dc:creator>阿慕</dc:creator>
  <cp:lastModifiedBy>administrator</cp:lastModifiedBy>
  <dcterms:modified xsi:type="dcterms:W3CDTF">2025-04-17T11:52:58Z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B07D1227722A4C1384A419AA1FDCBE74_13</vt:lpwstr>
  </property>
  <property fmtid="{D5CDD505-2E9C-101B-9397-08002B2CF9AE}" pid="4" name="KSOTemplateDocerSaveRecord">
    <vt:lpwstr>eyJoZGlkIjoiZTYwNjYxNDUwMzU2Nzc5ZjM1YWJmNTAyOTZmMTU0NTkiLCJ1c2VySWQiOiI3Nzg0MDYxOTgifQ==</vt:lpwstr>
  </property>
</Properties>
</file>