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rPr>
      </w:pPr>
      <w:r>
        <w:rPr>
          <w:rFonts w:hint="eastAsia" w:ascii="黑体" w:hAnsi="黑体" w:eastAsia="黑体" w:cs="黑体"/>
          <w:sz w:val="32"/>
        </w:rPr>
        <w:t>附件</w:t>
      </w:r>
    </w:p>
    <w:p>
      <w:pPr>
        <w:spacing w:after="158" w:afterLines="5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鼓楼区“推动实体零售创新转型”责任清单</w:t>
      </w:r>
    </w:p>
    <w:tbl>
      <w:tblPr>
        <w:tblStyle w:val="5"/>
        <w:tblW w:w="13636" w:type="dxa"/>
        <w:tblInd w:w="0" w:type="dxa"/>
        <w:tblLayout w:type="fixed"/>
        <w:tblCellMar>
          <w:top w:w="15" w:type="dxa"/>
          <w:left w:w="15" w:type="dxa"/>
          <w:bottom w:w="15" w:type="dxa"/>
          <w:right w:w="15" w:type="dxa"/>
        </w:tblCellMar>
      </w:tblPr>
      <w:tblGrid>
        <w:gridCol w:w="980"/>
        <w:gridCol w:w="9208"/>
        <w:gridCol w:w="1185"/>
        <w:gridCol w:w="2263"/>
      </w:tblGrid>
      <w:tr>
        <w:tblPrEx>
          <w:tblLayout w:type="fixed"/>
          <w:tblCellMar>
            <w:top w:w="15" w:type="dxa"/>
            <w:left w:w="15" w:type="dxa"/>
            <w:bottom w:w="15" w:type="dxa"/>
            <w:right w:w="15" w:type="dxa"/>
          </w:tblCellMar>
        </w:tblPrEx>
        <w:trPr>
          <w:trHeight w:val="45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kern w:val="0"/>
                <w:sz w:val="21"/>
                <w:szCs w:val="21"/>
                <w:lang w:bidi="ar"/>
              </w:rPr>
              <w:t>工作名称</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kern w:val="0"/>
                <w:sz w:val="21"/>
                <w:szCs w:val="21"/>
                <w:lang w:bidi="ar"/>
              </w:rPr>
              <w:t>任务安排</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kern w:val="0"/>
                <w:sz w:val="21"/>
                <w:szCs w:val="21"/>
                <w:lang w:bidi="ar"/>
              </w:rPr>
              <w:t>时间安排</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kern w:val="0"/>
                <w:sz w:val="21"/>
                <w:szCs w:val="21"/>
                <w:lang w:bidi="ar"/>
              </w:rPr>
              <w:t>责任单位</w:t>
            </w:r>
          </w:p>
        </w:tc>
      </w:tr>
      <w:tr>
        <w:tblPrEx>
          <w:tblLayout w:type="fixed"/>
          <w:tblCellMar>
            <w:top w:w="15" w:type="dxa"/>
            <w:left w:w="15" w:type="dxa"/>
            <w:bottom w:w="15" w:type="dxa"/>
            <w:right w:w="15" w:type="dxa"/>
          </w:tblCellMar>
        </w:tblPrEx>
        <w:trPr>
          <w:trHeight w:val="1384" w:hRule="atLeast"/>
        </w:trPr>
        <w:tc>
          <w:tcPr>
            <w:tcW w:w="980"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1.加快推进东街口智慧商圈建设，打造高品质“城市会客厅”</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打造智慧商圈。开展东街口智慧商圈建设，进一步完善东街口商圈免费无线网络覆盖范围，建设能够为消费者实时提供包括购物导航、信息推送、车辆停泊等功能的服务设施。推进智慧商圈APP“商圈通”建设，提升顾客消费体验，实现商圈消费结构优化升级。推进将智慧商圈APP“商圈通”服务信息接入“智慧福州”APP，实现商圈信息互联互通，方便消费者通过移动互联网查询各类信息。</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2018年底前</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区数字办</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东街口商圈管委会</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相关街镇</w:t>
            </w:r>
          </w:p>
        </w:tc>
      </w:tr>
      <w:tr>
        <w:tblPrEx>
          <w:tblLayout w:type="fixed"/>
          <w:tblCellMar>
            <w:top w:w="15" w:type="dxa"/>
            <w:left w:w="15" w:type="dxa"/>
            <w:bottom w:w="15" w:type="dxa"/>
            <w:right w:w="15" w:type="dxa"/>
          </w:tblCellMar>
        </w:tblPrEx>
        <w:trPr>
          <w:trHeight w:val="90" w:hRule="atLeast"/>
        </w:trPr>
        <w:tc>
          <w:tcPr>
            <w:tcW w:w="980"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着力引进品牌</w:t>
            </w:r>
            <w:r>
              <w:rPr>
                <w:rFonts w:hint="eastAsia" w:ascii="仿宋_GB2312" w:hAnsi="仿宋_GB2312" w:eastAsia="仿宋_GB2312" w:cs="仿宋_GB2312"/>
                <w:b/>
                <w:bCs/>
                <w:sz w:val="21"/>
                <w:szCs w:val="21"/>
              </w:rPr>
              <w:t>。</w:t>
            </w:r>
            <w:r>
              <w:rPr>
                <w:rFonts w:hint="eastAsia" w:ascii="仿宋_GB2312" w:hAnsi="仿宋_GB2312" w:eastAsia="仿宋_GB2312" w:cs="仿宋_GB2312"/>
                <w:sz w:val="21"/>
                <w:szCs w:val="21"/>
              </w:rPr>
              <w:t>通过软硬件设施的改造提升和多业态融合发展，提升东街口商圈品味和质感，将东街口商圈打造成为福州市乃至福建省的核心商圈。用活用好我区关于引进品牌的相关扶持政策，引导东百、大洋等东街口重点商贸企业引入更多的国内外著名品牌，打造高端精品、名品销售中心。引进福州特色产品专营店，重点引入“中华老字号”、“福建老字号”企业产品。</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东街口商圈管委会</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区商务局</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相关街镇</w:t>
            </w:r>
          </w:p>
        </w:tc>
      </w:tr>
      <w:tr>
        <w:tblPrEx>
          <w:tblLayout w:type="fixed"/>
          <w:tblCellMar>
            <w:top w:w="15" w:type="dxa"/>
            <w:left w:w="15" w:type="dxa"/>
            <w:bottom w:w="15" w:type="dxa"/>
            <w:right w:w="15" w:type="dxa"/>
          </w:tblCellMar>
        </w:tblPrEx>
        <w:trPr>
          <w:trHeight w:val="2478" w:hRule="atLeast"/>
        </w:trPr>
        <w:tc>
          <w:tcPr>
            <w:tcW w:w="98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完善商业配套。围绕构建“一轴、一核、多带”的商圈空间布局（即以南街商业为发展主轴；以旅游文化为核心，增强传统文化的挖掘，并与现代时尚相融合；实现商圈多元化，朱紫坊、吉庇路、津泰路、达明路、地下空间等商业带与主轴形成差异化竞争），抓好东街口商圈改造提升，大力实施八一七北路沿线楼体立面景观改造，持续推进商圈涉及的小街巷改造工作，尽快完成夜景灯光建设项目。加大对重点商圈周边基础配套设施资金投入，不断完善交通、停车场等公共设施，方便群众出行购物，促进商圈繁荣发展。提高道路巡查频率，按照道路类别等级制定巡视周期，主干道及重点敏感路段每天一巡，次干道两天一巡，支路街巷三天一巡，以确保重点商圈周边基础设施完好。</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东街口商圈管委会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达明美食街管委会</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区旅游局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区文体局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区城管局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区建设局</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相关街镇</w:t>
            </w:r>
          </w:p>
        </w:tc>
      </w:tr>
      <w:tr>
        <w:tblPrEx>
          <w:tblLayout w:type="fixed"/>
          <w:tblCellMar>
            <w:top w:w="15" w:type="dxa"/>
            <w:left w:w="15" w:type="dxa"/>
            <w:bottom w:w="15" w:type="dxa"/>
            <w:right w:w="15" w:type="dxa"/>
          </w:tblCellMar>
        </w:tblPrEx>
        <w:trPr>
          <w:trHeight w:val="1130" w:hRule="atLeast"/>
        </w:trPr>
        <w:tc>
          <w:tcPr>
            <w:tcW w:w="980"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Cs/>
                <w:kern w:val="0"/>
                <w:sz w:val="21"/>
                <w:szCs w:val="21"/>
                <w:lang w:bidi="ar"/>
              </w:rPr>
              <w:t>组织商圈活动。</w:t>
            </w:r>
            <w:r>
              <w:rPr>
                <w:rFonts w:hint="eastAsia" w:ascii="仿宋_GB2312" w:hAnsi="仿宋_GB2312" w:eastAsia="仿宋_GB2312" w:cs="仿宋_GB2312"/>
                <w:kern w:val="0"/>
                <w:sz w:val="21"/>
                <w:szCs w:val="21"/>
                <w:lang w:bidi="ar"/>
              </w:rPr>
              <w:t>整合商圈资源，依托东百中心、大洋百货、新华都、聚春园等重点企业，打造主题品牌活动，举办东街口商圈沙龙，开展商贸业态转型、品牌建设等方面的交流，宣传解读我区优惠政策。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东街口商圈管委会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区发改局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达明美食街管委会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相关街镇</w:t>
            </w:r>
          </w:p>
        </w:tc>
      </w:tr>
      <w:tr>
        <w:tblPrEx>
          <w:tblLayout w:type="fixed"/>
          <w:tblCellMar>
            <w:top w:w="15" w:type="dxa"/>
            <w:left w:w="15" w:type="dxa"/>
            <w:bottom w:w="15" w:type="dxa"/>
            <w:right w:w="15" w:type="dxa"/>
          </w:tblCellMar>
        </w:tblPrEx>
        <w:trPr>
          <w:trHeight w:val="266"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21"/>
                <w:szCs w:val="21"/>
                <w:lang w:bidi="ar"/>
              </w:rPr>
              <w:t>工作名称</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任务安排</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时间安排</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责任单位</w:t>
            </w:r>
          </w:p>
        </w:tc>
      </w:tr>
      <w:tr>
        <w:tblPrEx>
          <w:tblLayout w:type="fixed"/>
          <w:tblCellMar>
            <w:top w:w="15" w:type="dxa"/>
            <w:left w:w="15" w:type="dxa"/>
            <w:bottom w:w="15" w:type="dxa"/>
            <w:right w:w="15" w:type="dxa"/>
          </w:tblCellMar>
        </w:tblPrEx>
        <w:trPr>
          <w:trHeight w:val="2850" w:hRule="atLeast"/>
        </w:trPr>
        <w:tc>
          <w:tcPr>
            <w:tcW w:w="98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2.推动各种实体零售创新转型，促进零售业态升级</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构建线上线下融合新格局。贯彻落实省、市有关推动实体零售创新转型的政策措施，发挥实体商贸企业物流、网点等方面优势，大力培育线上线下融合发展的新型市场经营模式。</w:t>
            </w:r>
          </w:p>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鼓励和引导有条件的大型实体商贸企业跨界经营，实现零售业、娱乐业、餐饮业、会展业、旅游业融合发展，形成跨行业联动，从传统销售场所向社交体验消费中心转型，满足现代城市新消费、新生活的需求。吸引网上书店在我区布局线下实体书店，鼓励打造以图书为核心，集文化展示、教育培训、创意文化用品销售、阅读交流、餐饮休闲等功能于一体的复合型零售业态、连锁超市或文化综合体，从单一的销售图书向多元化连锁体验消费转型升级。</w:t>
            </w:r>
          </w:p>
          <w:p>
            <w:pPr>
              <w:widowControl/>
              <w:jc w:val="left"/>
              <w:textAlignment w:val="center"/>
              <w:rPr>
                <w:rFonts w:hint="eastAsia" w:ascii="仿宋_GB2312" w:hAnsi="仿宋_GB2312" w:eastAsia="仿宋_GB2312" w:cs="仿宋_GB2312"/>
                <w:sz w:val="21"/>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区发改局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区市场监督管理局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区投促局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区文体局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区广电局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区旅游局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软件园</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洪山园</w:t>
            </w:r>
          </w:p>
        </w:tc>
      </w:tr>
      <w:tr>
        <w:tblPrEx>
          <w:tblLayout w:type="fixed"/>
          <w:tblCellMar>
            <w:top w:w="15" w:type="dxa"/>
            <w:left w:w="15" w:type="dxa"/>
            <w:bottom w:w="15" w:type="dxa"/>
            <w:right w:w="15" w:type="dxa"/>
          </w:tblCellMar>
        </w:tblPrEx>
        <w:trPr>
          <w:trHeight w:val="2350" w:hRule="atLeast"/>
        </w:trPr>
        <w:tc>
          <w:tcPr>
            <w:tcW w:w="98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积极构建布局合理、设施先进、功能完善、管理规范的标准化农贸市场服务体系，推动农贸市场全面提升规范化管理水平，按照“政府引导扶持、促进业主自治、鼓励中介组织参与市场化管理服务”的整体思路，鼓励由业主自治向第三方专业化管理转变，实现政府扶持鼓励和农贸市场业主自我管理、自我服务、自我发展的良性互动，形成社会协同、管理多元的农贸市场长效管理机制，全面提升我区农贸市场购物环境。</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区市场监督管理局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区安监局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区发改局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区城管局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鼓楼消防大队</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相关街镇</w:t>
            </w:r>
          </w:p>
        </w:tc>
      </w:tr>
      <w:tr>
        <w:tblPrEx>
          <w:tblLayout w:type="fixed"/>
          <w:tblCellMar>
            <w:top w:w="15" w:type="dxa"/>
            <w:left w:w="15" w:type="dxa"/>
            <w:bottom w:w="15" w:type="dxa"/>
            <w:right w:w="15" w:type="dxa"/>
          </w:tblCellMar>
        </w:tblPrEx>
        <w:trPr>
          <w:trHeight w:val="1341" w:hRule="atLeast"/>
        </w:trPr>
        <w:tc>
          <w:tcPr>
            <w:tcW w:w="98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 xml:space="preserve">注重发展社区商业。大力引导实体商贸企业，特别是连锁商超向社区终端延伸，支持永辉、新华都、万嘉、六意等连锁化、品牌化企业进入社区设立便利店和社区超市。鼓励连锁便利店拓展便民服务功能。增加公共事业性收费、网订店取、社区配送等附加便民服务功能，拓展服务功能区域，完善社区商业配套。探索医药零售连锁企业通过24小时便利店设置自动售药机等方式提供便民服务。 </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2018年底前</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区商务局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区市场监督管理局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1151" w:hRule="atLeast"/>
        </w:trPr>
        <w:tc>
          <w:tcPr>
            <w:tcW w:w="98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推动老字号传承发展与保护。鼓励支持现有的东百等老字号零售企业开展品牌培育、知识产权保护、信息化系统升级改造、技术改造、工艺创新等创新转型工作。配合开展“福州老字号”评选工作。大力挖掘埋没在市井街巷中福州老字号的传统品牌、工艺和产品，采取有效措施使之得到传承与发展，使福州老字号继续发扬光大。在达明美食街等特色街区打造与东百集团南街项目招商时，优先考虑老字号企业的引入。</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区财政局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东街口商圈管委会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达明美食街管委会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550"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21"/>
                <w:szCs w:val="21"/>
                <w:lang w:bidi="ar"/>
              </w:rPr>
              <w:t>工作名称</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任务安排</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时间安排</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责任单位</w:t>
            </w:r>
          </w:p>
        </w:tc>
      </w:tr>
      <w:tr>
        <w:tblPrEx>
          <w:tblLayout w:type="fixed"/>
          <w:tblCellMar>
            <w:top w:w="15" w:type="dxa"/>
            <w:left w:w="15" w:type="dxa"/>
            <w:bottom w:w="15" w:type="dxa"/>
            <w:right w:w="15" w:type="dxa"/>
          </w:tblCellMar>
        </w:tblPrEx>
        <w:trPr>
          <w:trHeight w:val="2700" w:hRule="atLeast"/>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3.发展商贸物流打造示范引领，助力实体零售转型</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推进物流标准化，支持在商贸流通中应用标准托盘和周转箱，实现一贯制物流作业，降低商贸企业物流成本。支持企业配置标准托盘，支持与标准托盘相衔接的设施设备和服务流程标准化。推动“物联网+托盘”建设，推进物流链数据单元的信息标准化，鼓励企业以托盘为单元进行订货、计费和收发货。发展专业化商贸物流。推广面向多家商贸企业的多用户的共同配送模式，不断提高物流资源利用效率。鼓励发展智慧物流信息平台，提高车货匹配效率，优化物流路线，从而降低配送成本。</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2018-2020年</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u w:val="none"/>
                <w:lang w:bidi="ar"/>
              </w:rPr>
            </w:pPr>
            <w:r>
              <w:rPr>
                <w:rFonts w:hint="eastAsia" w:ascii="仿宋_GB2312" w:hAnsi="仿宋_GB2312" w:eastAsia="仿宋_GB2312" w:cs="仿宋_GB2312"/>
                <w:kern w:val="0"/>
                <w:sz w:val="21"/>
                <w:szCs w:val="21"/>
                <w:u w:val="none"/>
                <w:lang w:bidi="ar"/>
              </w:rPr>
              <w:t>区发改局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软件园</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洪山园</w:t>
            </w:r>
          </w:p>
        </w:tc>
      </w:tr>
      <w:tr>
        <w:tblPrEx>
          <w:tblLayout w:type="fixed"/>
          <w:tblCellMar>
            <w:top w:w="15" w:type="dxa"/>
            <w:left w:w="15" w:type="dxa"/>
            <w:bottom w:w="15" w:type="dxa"/>
            <w:right w:w="15" w:type="dxa"/>
          </w:tblCellMar>
        </w:tblPrEx>
        <w:trPr>
          <w:trHeight w:val="1875" w:hRule="atLeast"/>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打造实体零售创新转型示范企业。全力推动辖区实体零售创新重点企业的发展，及时总结推广示范企业在实体零售发展方面的新经验、新办法、新模式、新成果，并组织企业申报相应的扶持政策，助推创新型重点企业的快速发展。</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区财政局</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3317" w:hRule="atLeast"/>
        </w:trPr>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持本土商贸企业“走出去”，做大做强。引导和支持有条件的本土商贸企业向社区、农村延伸，向外地扩张，以及通过对外直接投资，开拓国际市场，参与国际竞争，学习外地、境外先进经营理念，打造跨地区、跨国实体商贸企业和知名实体商贸品牌。支持我区有能力、有条件的商贸企业积极稳妥开展境外投资活动，有序推进商贸企业在境外建立分支机构和服务网络，依法合规开展业务。进一步加大第三产业招商力度，强化对境内外实体商贸龙头企业的招商。加大与世界500强商贸企业的联系，努力吸引更多国内外商贸业巨头在我市落地，力争在引进大型商贸业总部方面有大的突破，推动内资商场、超市、农贸市场、便利连锁店通过战略合作引进外资品牌、资金、技术、人才、管理，提升我市实体商贸业的整体层次和水平，鼓励引导民间资本投资实体商贸业。</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区投促局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区市场监督管理局</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732"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21"/>
                <w:szCs w:val="21"/>
                <w:lang w:bidi="ar"/>
              </w:rPr>
              <w:t>工作名称</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任务安排</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时间安排</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责任单位</w:t>
            </w:r>
          </w:p>
        </w:tc>
      </w:tr>
      <w:tr>
        <w:tblPrEx>
          <w:tblLayout w:type="fixed"/>
          <w:tblCellMar>
            <w:top w:w="15" w:type="dxa"/>
            <w:left w:w="15" w:type="dxa"/>
            <w:bottom w:w="15" w:type="dxa"/>
            <w:right w:w="15" w:type="dxa"/>
          </w:tblCellMar>
        </w:tblPrEx>
        <w:trPr>
          <w:trHeight w:val="2858" w:hRule="atLeast"/>
        </w:trPr>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4.进一步简政放权</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深化“放管服”改革，优化服务和管理，针对优化营商环境形成常态化的工作机制。在实际工作中不断创新优化，着力构建“亲”“清”新型政商关系。深入贯彻落实“窗口无否决权”工作机制，进一步优化流程、简化材料，提高办事效率，提升服务质量。积极探索推广“互联网+公安政务服务”新模式，拓展“两微多端”办事渠道，围绕户政、交通、出入境、治安、消防等与群众切身利益密切相关的职能领域，开发更多贴近民生的网上服务和“指尖办事”项目，切实方便群众办事创业。</w:t>
            </w:r>
          </w:p>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推动住所登记改革。连锁企业从事出版物等零售业务，其非企业法人直营门店可直接凭企业总部获取的许可文件复印件到门店所在地主管部门备案。依法对临街店铺装潢装修进行管理，依法对户外营销活动进行审批。</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区市场监管局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区审改办</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区行政服务中心</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（服务企业中心）</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区文体局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区广电局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区城管局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鼓楼公安分局</w:t>
            </w:r>
          </w:p>
          <w:p>
            <w:pPr>
              <w:widowControl/>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2160" w:hRule="atLeast"/>
        </w:trPr>
        <w:tc>
          <w:tcPr>
            <w:tcW w:w="98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对重点招商企业，专门开辟绿色通道，采取专人指导、优先受理、加急办理、全程跟踪等保障措施予以特事特办、马上就办，促进招商引资项目加快落地，实现投产运营。构建证照送达多元化体系，完善企业登记全程电子化生态链条，除为招商引资企业开通现场领照的绿色通道外，企业还可自主选择通过营业执照自助打印终端领照或邮寄专递送达的服务方式实现就近就地领取营业执照，真正打通市场主体准入“最后一公里”，实现“最多跑一趟”、“一趟不用跑”的服务目标。</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区投促局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区市场监管局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区行政服务中心</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（服务企业中心）</w:t>
            </w:r>
          </w:p>
        </w:tc>
      </w:tr>
      <w:tr>
        <w:tblPrEx>
          <w:tblLayout w:type="fixed"/>
          <w:tblCellMar>
            <w:top w:w="15" w:type="dxa"/>
            <w:left w:w="15" w:type="dxa"/>
            <w:bottom w:w="15" w:type="dxa"/>
            <w:right w:w="15" w:type="dxa"/>
          </w:tblCellMar>
        </w:tblPrEx>
        <w:trPr>
          <w:trHeight w:val="2648"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5.促进市场公平竞争</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打击不正当竞争，维护市场秩序。强化对垄断行业的监管，严肃查处垄断协议、滥用市场支配地位等价格垄断行为，严厉打击商标侵权、商业贿赂、制售假冒伪劣商品等违法行为，维护市场竞争秩序；依法处理职业打假人欺诈式消费维权行为，特别是恶意索赔，请差评师恶意损害竞争对手，利用互联网造谣、进行商业诋毁等不正当竞争行为。</w:t>
            </w:r>
          </w:p>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加强相关部门、重点企业、行业协会的联动，建立信息共享机制，形成打击合力，严厉打击侵权假冒犯罪活动。</w:t>
            </w:r>
          </w:p>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重点检查企业总部和配送中心，减少对销售普通商品零售门店的重复检查，同等对待大型连锁企业与小微企业、个体工商户（农贸市场），合理确定生产者、经营者责任义务。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区“双打”工作领导小组成员单位</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区市场监管局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54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21"/>
                <w:szCs w:val="21"/>
                <w:lang w:bidi="ar"/>
              </w:rPr>
              <w:t>工作名称</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任务安排</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时间安排</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bCs/>
                <w:kern w:val="0"/>
                <w:sz w:val="21"/>
                <w:szCs w:val="21"/>
                <w:lang w:bidi="ar"/>
              </w:rPr>
              <w:t>责任单位</w:t>
            </w:r>
          </w:p>
        </w:tc>
      </w:tr>
      <w:tr>
        <w:tblPrEx>
          <w:tblLayout w:type="fixed"/>
          <w:tblCellMar>
            <w:top w:w="15" w:type="dxa"/>
            <w:left w:w="15" w:type="dxa"/>
            <w:bottom w:w="15" w:type="dxa"/>
            <w:right w:w="15" w:type="dxa"/>
          </w:tblCellMar>
        </w:tblPrEx>
        <w:trPr>
          <w:trHeight w:val="2231"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6.完善公共服务体系</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盘活现有商业设施资源，加强直管公产非住宅商业用房转租管理。</w:t>
            </w:r>
          </w:p>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支持高等院校、各类职业教育培养更多的高端商业人才，以及流行设计、电子商务、信息服务、网络支付等专业人才，为实体商贸经济创新转型、持续发展提供人才保障。</w:t>
            </w:r>
          </w:p>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加强商业协会建设，充分发挥有关协会职能和作用，推进社会组织信用体系建设，强化行业自律和服务，积极培育专业的服务机构和行业组织，承接商贸企业信息咨询、行业统计、创业辅导、从业人员培训等职能。对符合条件的行业协会商会实行直接登记，充分发挥有关协会职能和作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区国有资产管理中心</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区民政局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区教育局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区人社局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区发改局</w:t>
            </w:r>
          </w:p>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2361" w:hRule="atLeast"/>
        </w:trPr>
        <w:tc>
          <w:tcPr>
            <w:tcW w:w="98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7.加大政策扶持力度</w:t>
            </w: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加强财税支持。发挥财政资金引导带动作用，对实体零售创新转型工作予以支持。落实好总分支机构汇总缴纳企业所得税、增值税相关规定。营造线上线下企业公平竞争的税收环境。落实取消税务发票工本费政策，不得以任何理由强制零售企业使用冠名发票、卷式发票，大力推广电子发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持续推进</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区财政局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区地税局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区国税局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区发改局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东街口商圈管委会</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十街镇</w:t>
            </w:r>
          </w:p>
        </w:tc>
      </w:tr>
      <w:tr>
        <w:tblPrEx>
          <w:tblLayout w:type="fixed"/>
          <w:tblCellMar>
            <w:top w:w="15" w:type="dxa"/>
            <w:left w:w="15" w:type="dxa"/>
            <w:bottom w:w="15" w:type="dxa"/>
            <w:right w:w="15" w:type="dxa"/>
          </w:tblCellMar>
        </w:tblPrEx>
        <w:trPr>
          <w:trHeight w:val="2225" w:hRule="atLeast"/>
        </w:trPr>
        <w:tc>
          <w:tcPr>
            <w:tcW w:w="98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p>
        </w:tc>
        <w:tc>
          <w:tcPr>
            <w:tcW w:w="9208" w:type="dxa"/>
            <w:tcBorders>
              <w:top w:val="single" w:color="000000" w:sz="4" w:space="0"/>
              <w:left w:val="single" w:color="000000" w:sz="4" w:space="0"/>
              <w:bottom w:val="single" w:color="000000" w:sz="4" w:space="0"/>
              <w:right w:val="single" w:color="000000" w:sz="4" w:space="0"/>
            </w:tcBorders>
            <w:vAlign w:val="center"/>
          </w:tcPr>
          <w:p>
            <w:pPr>
              <w:widowControl/>
              <w:ind w:firstLine="384" w:firstLineChars="2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加强金融政策支持。拓宽商贸企业融资渠道，推动各银行业机构进一步向商贸服务业企业倾斜；加强政银企合作，推动在榕银行机构加快推广商贸服务业企业无还本续贷，争取做大无还本续贷的规模，确保正常经营企业资金不断供、不增加续贷成本；试点推广面向包括科技型服务业企业的园区企业厂房按揭贷款。</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持续推动</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区商务局</w:t>
            </w:r>
          </w:p>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区投促局</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十街镇</w:t>
            </w:r>
          </w:p>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软件园</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洪山园</w:t>
            </w:r>
          </w:p>
        </w:tc>
      </w:tr>
    </w:tbl>
    <w:p>
      <w:pPr>
        <w:snapToGrid w:val="0"/>
        <w:spacing w:line="560" w:lineRule="exact"/>
        <w:ind w:right="24"/>
        <w:rPr>
          <w:rFonts w:hint="eastAsia" w:ascii="仿宋_GB2312" w:eastAsia="仿宋_GB2312"/>
          <w:snapToGrid w:val="0"/>
          <w:kern w:val="0"/>
          <w:szCs w:val="32"/>
          <w:lang w:eastAsia="zh-CN"/>
        </w:rPr>
      </w:pPr>
    </w:p>
    <w:p>
      <w:pPr>
        <w:wordWrap w:val="0"/>
        <w:snapToGrid w:val="0"/>
        <w:spacing w:line="560" w:lineRule="exact"/>
        <w:ind w:right="600"/>
        <w:rPr>
          <w:rFonts w:hint="eastAsia" w:ascii="仿宋_GB2312"/>
          <w:spacing w:val="-6"/>
        </w:rPr>
      </w:pPr>
    </w:p>
    <w:p>
      <w:bookmarkStart w:id="0" w:name="_GoBack"/>
      <w:bookmarkEnd w:id="0"/>
    </w:p>
    <w:sectPr>
      <w:pgSz w:w="16838" w:h="11906" w:orient="landscape"/>
      <w:pgMar w:top="1531" w:right="1701" w:bottom="1531" w:left="1701" w:header="851" w:footer="1418" w:gutter="0"/>
      <w:pgNumType w:fmt="numberInDash"/>
      <w:cols w:space="720" w:num="1"/>
      <w:docGrid w:type="linesAndChars" w:linePitch="634" w:charSpace="-3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15A8F"/>
    <w:rsid w:val="0B615A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2018-05-16T03:37:00Z</dcterms:created>
  <dc:creator>粽子</dc:creator>
  <cp:lastModifiedBy>粽子</cp:lastModifiedBy>
  <dcterms:modified xsi:type="dcterms:W3CDTF">2018-05-16T03:38:06Z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