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sz w:val="32"/>
        </w:rPr>
      </w:pPr>
      <w:r>
        <w:rPr>
          <w:rFonts w:hint="eastAsia" w:ascii="黑体" w:hAnsi="黑体" w:eastAsia="黑体" w:cs="黑体"/>
          <w:sz w:val="32"/>
        </w:rPr>
        <w:t>附件</w:t>
      </w:r>
    </w:p>
    <w:p>
      <w:pPr>
        <w:spacing w:after="158" w:afterLines="50"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鼓楼区“推动实体零售创新转型”责任清单</w:t>
      </w:r>
    </w:p>
    <w:tbl>
      <w:tblPr>
        <w:tblStyle w:val="5"/>
        <w:tblW w:w="13636" w:type="dxa"/>
        <w:tblInd w:w="0" w:type="dxa"/>
        <w:tblLayout w:type="fixed"/>
        <w:tblCellMar>
          <w:top w:w="15" w:type="dxa"/>
          <w:left w:w="15" w:type="dxa"/>
          <w:bottom w:w="15" w:type="dxa"/>
          <w:right w:w="15" w:type="dxa"/>
        </w:tblCellMar>
      </w:tblPr>
      <w:tblGrid>
        <w:gridCol w:w="980"/>
        <w:gridCol w:w="9208"/>
        <w:gridCol w:w="1185"/>
        <w:gridCol w:w="2263"/>
      </w:tblGrid>
      <w:tr>
        <w:tblPrEx>
          <w:tblLayout w:type="fixed"/>
          <w:tblCellMar>
            <w:top w:w="15" w:type="dxa"/>
            <w:left w:w="15" w:type="dxa"/>
            <w:bottom w:w="15" w:type="dxa"/>
            <w:right w:w="15" w:type="dxa"/>
          </w:tblCellMar>
        </w:tblPrEx>
        <w:trPr>
          <w:trHeight w:val="455" w:hRule="atLeast"/>
        </w:trPr>
        <w:tc>
          <w:tcPr>
            <w:tcW w:w="9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kern w:val="0"/>
                <w:sz w:val="21"/>
                <w:szCs w:val="21"/>
                <w:lang w:bidi="ar"/>
              </w:rPr>
              <w:t>工作名称</w:t>
            </w:r>
          </w:p>
        </w:tc>
        <w:tc>
          <w:tcPr>
            <w:tcW w:w="9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kern w:val="0"/>
                <w:sz w:val="21"/>
                <w:szCs w:val="21"/>
                <w:lang w:bidi="ar"/>
              </w:rPr>
              <w:t>任务安排</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kern w:val="0"/>
                <w:sz w:val="21"/>
                <w:szCs w:val="21"/>
                <w:lang w:bidi="ar"/>
              </w:rPr>
              <w:t>时间安排</w:t>
            </w:r>
          </w:p>
        </w:tc>
        <w:tc>
          <w:tcPr>
            <w:tcW w:w="2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kern w:val="0"/>
                <w:sz w:val="21"/>
                <w:szCs w:val="21"/>
                <w:lang w:bidi="ar"/>
              </w:rPr>
              <w:t>责任单位</w:t>
            </w:r>
          </w:p>
        </w:tc>
      </w:tr>
      <w:tr>
        <w:tblPrEx>
          <w:tblLayout w:type="fixed"/>
          <w:tblCellMar>
            <w:top w:w="15" w:type="dxa"/>
            <w:left w:w="15" w:type="dxa"/>
            <w:bottom w:w="15" w:type="dxa"/>
            <w:right w:w="15" w:type="dxa"/>
          </w:tblCellMar>
        </w:tblPrEx>
        <w:trPr>
          <w:trHeight w:val="1384" w:hRule="atLeast"/>
        </w:trPr>
        <w:tc>
          <w:tcPr>
            <w:tcW w:w="980" w:type="dxa"/>
            <w:vMerge w:val="restart"/>
            <w:tcBorders>
              <w:top w:val="single" w:color="000000" w:sz="4" w:space="0"/>
              <w:left w:val="single" w:color="000000" w:sz="4" w:space="0"/>
              <w:right w:val="single" w:color="000000" w:sz="4" w:space="0"/>
            </w:tcBorders>
            <w:vAlign w:val="center"/>
          </w:tcPr>
          <w:p>
            <w:pPr>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1.加快推进东街口智慧商圈建设，打造高品质“城市会客厅”</w:t>
            </w:r>
          </w:p>
        </w:tc>
        <w:tc>
          <w:tcPr>
            <w:tcW w:w="9208" w:type="dxa"/>
            <w:tcBorders>
              <w:top w:val="single" w:color="000000" w:sz="4" w:space="0"/>
              <w:left w:val="single" w:color="000000" w:sz="4" w:space="0"/>
              <w:bottom w:val="single" w:color="000000" w:sz="4" w:space="0"/>
              <w:right w:val="single" w:color="000000" w:sz="4" w:space="0"/>
            </w:tcBorders>
            <w:vAlign w:val="center"/>
          </w:tcPr>
          <w:p>
            <w:pPr>
              <w:widowControl/>
              <w:ind w:firstLine="384" w:firstLineChars="200"/>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bidi="ar"/>
              </w:rPr>
              <w:t>打造智慧商圈。开展东街口智慧商圈建设，进一步完善东街口商圈免费无线网络覆盖范围，建设能够为消费者实时提供包括购物导航、信息推送、车辆停泊等功能的服务设施。推进智慧商圈APP“商圈通”建设，提升顾客消费体验，实现商圈消费结构优化升级。推进将智慧商圈APP“商圈通”服务信息接入“智慧福州”APP，实现商圈信息互联互通，方便消费者通过移动互联网查询各类信息。</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bidi="ar"/>
              </w:rPr>
              <w:t>2018年底前</w:t>
            </w:r>
          </w:p>
        </w:tc>
        <w:tc>
          <w:tcPr>
            <w:tcW w:w="2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区数字办</w:t>
            </w:r>
          </w:p>
          <w:p>
            <w:pPr>
              <w:widowControl/>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东街口商圈管委会</w:t>
            </w:r>
            <w:r>
              <w:rPr>
                <w:rFonts w:hint="eastAsia" w:ascii="仿宋_GB2312" w:hAnsi="仿宋_GB2312" w:eastAsia="仿宋_GB2312" w:cs="仿宋_GB2312"/>
                <w:kern w:val="0"/>
                <w:sz w:val="21"/>
                <w:szCs w:val="21"/>
                <w:lang w:bidi="ar"/>
              </w:rPr>
              <w:br w:type="textWrapping"/>
            </w:r>
            <w:r>
              <w:rPr>
                <w:rFonts w:hint="eastAsia" w:ascii="仿宋_GB2312" w:hAnsi="仿宋_GB2312" w:eastAsia="仿宋_GB2312" w:cs="仿宋_GB2312"/>
                <w:kern w:val="0"/>
                <w:sz w:val="21"/>
                <w:szCs w:val="21"/>
                <w:lang w:bidi="ar"/>
              </w:rPr>
              <w:t>区商务局</w:t>
            </w:r>
          </w:p>
          <w:p>
            <w:pPr>
              <w:widowControl/>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bidi="ar"/>
              </w:rPr>
              <w:t>相关街镇</w:t>
            </w:r>
          </w:p>
        </w:tc>
      </w:tr>
      <w:tr>
        <w:tblPrEx>
          <w:tblLayout w:type="fixed"/>
          <w:tblCellMar>
            <w:top w:w="15" w:type="dxa"/>
            <w:left w:w="15" w:type="dxa"/>
            <w:bottom w:w="15" w:type="dxa"/>
            <w:right w:w="15" w:type="dxa"/>
          </w:tblCellMar>
        </w:tblPrEx>
        <w:trPr>
          <w:trHeight w:val="90" w:hRule="atLeast"/>
        </w:trPr>
        <w:tc>
          <w:tcPr>
            <w:tcW w:w="980" w:type="dxa"/>
            <w:vMerge w:val="continue"/>
            <w:tcBorders>
              <w:left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1"/>
                <w:szCs w:val="21"/>
              </w:rPr>
            </w:pPr>
          </w:p>
        </w:tc>
        <w:tc>
          <w:tcPr>
            <w:tcW w:w="9208" w:type="dxa"/>
            <w:tcBorders>
              <w:top w:val="single" w:color="000000" w:sz="4" w:space="0"/>
              <w:left w:val="single" w:color="000000" w:sz="4" w:space="0"/>
              <w:bottom w:val="single" w:color="000000" w:sz="4" w:space="0"/>
              <w:right w:val="single" w:color="000000" w:sz="4" w:space="0"/>
            </w:tcBorders>
            <w:vAlign w:val="center"/>
          </w:tcPr>
          <w:p>
            <w:pPr>
              <w:widowControl/>
              <w:ind w:firstLine="384" w:firstLineChars="200"/>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rPr>
              <w:t>着力引进品牌</w:t>
            </w:r>
            <w:r>
              <w:rPr>
                <w:rFonts w:hint="eastAsia" w:ascii="仿宋_GB2312" w:hAnsi="仿宋_GB2312" w:eastAsia="仿宋_GB2312" w:cs="仿宋_GB2312"/>
                <w:b/>
                <w:bCs/>
                <w:sz w:val="21"/>
                <w:szCs w:val="21"/>
              </w:rPr>
              <w:t>。</w:t>
            </w:r>
            <w:r>
              <w:rPr>
                <w:rFonts w:hint="eastAsia" w:ascii="仿宋_GB2312" w:hAnsi="仿宋_GB2312" w:eastAsia="仿宋_GB2312" w:cs="仿宋_GB2312"/>
                <w:sz w:val="21"/>
                <w:szCs w:val="21"/>
              </w:rPr>
              <w:t>通过软硬件设施的改造提升和多业态融合发展，提升东街口商圈品味和质感，将东街口商圈打造成为福州市乃至福建省的核心商圈。用活用好我区关于引进品牌的相关扶持政策，引导东百、大洋等东街口重点商贸企业引入更多的国内外著名品牌，打造高端精品、名品销售中心。引进福州特色产品专营店，重点引入“中华老字号”、“福建老字号”企业产品。</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bidi="ar"/>
              </w:rPr>
              <w:t>持续推进</w:t>
            </w:r>
          </w:p>
        </w:tc>
        <w:tc>
          <w:tcPr>
            <w:tcW w:w="2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东街口商圈管委会</w:t>
            </w:r>
          </w:p>
          <w:p>
            <w:pPr>
              <w:widowControl/>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区商务局</w:t>
            </w:r>
          </w:p>
          <w:p>
            <w:pPr>
              <w:widowControl/>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相关街镇</w:t>
            </w:r>
          </w:p>
        </w:tc>
      </w:tr>
      <w:tr>
        <w:tblPrEx>
          <w:tblLayout w:type="fixed"/>
          <w:tblCellMar>
            <w:top w:w="15" w:type="dxa"/>
            <w:left w:w="15" w:type="dxa"/>
            <w:bottom w:w="15" w:type="dxa"/>
            <w:right w:w="15" w:type="dxa"/>
          </w:tblCellMar>
        </w:tblPrEx>
        <w:trPr>
          <w:trHeight w:val="2478" w:hRule="atLeast"/>
        </w:trPr>
        <w:tc>
          <w:tcPr>
            <w:tcW w:w="980" w:type="dxa"/>
            <w:vMerge w:val="continue"/>
            <w:tcBorders>
              <w:left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9208" w:type="dxa"/>
            <w:tcBorders>
              <w:top w:val="single" w:color="000000" w:sz="4" w:space="0"/>
              <w:left w:val="single" w:color="000000" w:sz="4" w:space="0"/>
              <w:bottom w:val="single" w:color="000000" w:sz="4" w:space="0"/>
              <w:right w:val="single" w:color="000000" w:sz="4" w:space="0"/>
            </w:tcBorders>
            <w:vAlign w:val="center"/>
          </w:tcPr>
          <w:p>
            <w:pPr>
              <w:widowControl/>
              <w:ind w:firstLine="384" w:firstLineChars="200"/>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bidi="ar"/>
              </w:rPr>
              <w:t>完善商业配套。围绕构建“一轴、一核、多带”的商圈空间布局（即以南街商业为发展主轴；以旅游文化为核心，增强传统文化的挖掘，并与现代时尚相融合；实现商圈多元化，朱紫坊、吉庇路、津泰路、达明路、地下空间等商业带与主轴形成差异化竞争），抓好东街口商圈改造提升，大力实施八一七北路沿线楼体立面景观改造，持续推进商圈涉及的小街巷改造工作，尽快完成夜景灯光建设项目。加大对重点商圈周边基础配套设施资金投入，不断完善交通、停车场等公共设施，方便群众出行购物，促进商圈繁荣发展。提高道路巡查频率，按照道路类别等级制定巡视周期，主干道及重点敏感路段每天一巡，次干道两天一巡，支路街巷三天一巡，以确保重点商圈周边基础设施完好。</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bidi="ar"/>
              </w:rPr>
              <w:t>持续推进</w:t>
            </w:r>
          </w:p>
        </w:tc>
        <w:tc>
          <w:tcPr>
            <w:tcW w:w="2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东街口商圈管委会</w:t>
            </w:r>
          </w:p>
          <w:p>
            <w:pPr>
              <w:widowControl/>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达明美食街管委会</w:t>
            </w:r>
            <w:r>
              <w:rPr>
                <w:rFonts w:hint="eastAsia" w:ascii="仿宋_GB2312" w:hAnsi="仿宋_GB2312" w:eastAsia="仿宋_GB2312" w:cs="仿宋_GB2312"/>
                <w:kern w:val="0"/>
                <w:sz w:val="21"/>
                <w:szCs w:val="21"/>
                <w:lang w:bidi="ar"/>
              </w:rPr>
              <w:br w:type="textWrapping"/>
            </w:r>
            <w:r>
              <w:rPr>
                <w:rFonts w:hint="eastAsia" w:ascii="仿宋_GB2312" w:hAnsi="仿宋_GB2312" w:eastAsia="仿宋_GB2312" w:cs="仿宋_GB2312"/>
                <w:kern w:val="0"/>
                <w:sz w:val="21"/>
                <w:szCs w:val="21"/>
                <w:lang w:bidi="ar"/>
              </w:rPr>
              <w:t>区商务局</w:t>
            </w:r>
          </w:p>
          <w:p>
            <w:pPr>
              <w:widowControl/>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区旅游局</w:t>
            </w:r>
          </w:p>
          <w:p>
            <w:pPr>
              <w:widowControl/>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区文体局</w:t>
            </w:r>
            <w:r>
              <w:rPr>
                <w:rFonts w:hint="eastAsia" w:ascii="仿宋_GB2312" w:hAnsi="仿宋_GB2312" w:eastAsia="仿宋_GB2312" w:cs="仿宋_GB2312"/>
                <w:kern w:val="0"/>
                <w:sz w:val="21"/>
                <w:szCs w:val="21"/>
                <w:lang w:bidi="ar"/>
              </w:rPr>
              <w:br w:type="textWrapping"/>
            </w:r>
            <w:r>
              <w:rPr>
                <w:rFonts w:hint="eastAsia" w:ascii="仿宋_GB2312" w:hAnsi="仿宋_GB2312" w:eastAsia="仿宋_GB2312" w:cs="仿宋_GB2312"/>
                <w:kern w:val="0"/>
                <w:sz w:val="21"/>
                <w:szCs w:val="21"/>
                <w:lang w:bidi="ar"/>
              </w:rPr>
              <w:t>区城管局</w:t>
            </w:r>
            <w:r>
              <w:rPr>
                <w:rFonts w:hint="eastAsia" w:ascii="仿宋_GB2312" w:hAnsi="仿宋_GB2312" w:eastAsia="仿宋_GB2312" w:cs="仿宋_GB2312"/>
                <w:kern w:val="0"/>
                <w:sz w:val="21"/>
                <w:szCs w:val="21"/>
                <w:lang w:bidi="ar"/>
              </w:rPr>
              <w:br w:type="textWrapping"/>
            </w:r>
            <w:r>
              <w:rPr>
                <w:rFonts w:hint="eastAsia" w:ascii="仿宋_GB2312" w:hAnsi="仿宋_GB2312" w:eastAsia="仿宋_GB2312" w:cs="仿宋_GB2312"/>
                <w:kern w:val="0"/>
                <w:sz w:val="21"/>
                <w:szCs w:val="21"/>
                <w:lang w:bidi="ar"/>
              </w:rPr>
              <w:t>区建设局</w:t>
            </w:r>
          </w:p>
          <w:p>
            <w:pPr>
              <w:widowControl/>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bidi="ar"/>
              </w:rPr>
              <w:t>相关街镇</w:t>
            </w:r>
          </w:p>
        </w:tc>
      </w:tr>
      <w:tr>
        <w:tblPrEx>
          <w:tblLayout w:type="fixed"/>
          <w:tblCellMar>
            <w:top w:w="15" w:type="dxa"/>
            <w:left w:w="15" w:type="dxa"/>
            <w:bottom w:w="15" w:type="dxa"/>
            <w:right w:w="15" w:type="dxa"/>
          </w:tblCellMar>
        </w:tblPrEx>
        <w:trPr>
          <w:trHeight w:val="1130" w:hRule="atLeast"/>
        </w:trPr>
        <w:tc>
          <w:tcPr>
            <w:tcW w:w="980" w:type="dxa"/>
            <w:vMerge w:val="continue"/>
            <w:tcBorders>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9208" w:type="dxa"/>
            <w:tcBorders>
              <w:top w:val="single" w:color="000000" w:sz="4" w:space="0"/>
              <w:left w:val="single" w:color="000000" w:sz="4" w:space="0"/>
              <w:bottom w:val="single" w:color="000000" w:sz="4" w:space="0"/>
              <w:right w:val="single" w:color="000000" w:sz="4" w:space="0"/>
            </w:tcBorders>
            <w:vAlign w:val="center"/>
          </w:tcPr>
          <w:p>
            <w:pPr>
              <w:widowControl/>
              <w:ind w:firstLine="384" w:firstLineChars="200"/>
              <w:jc w:val="left"/>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bCs/>
                <w:kern w:val="0"/>
                <w:sz w:val="21"/>
                <w:szCs w:val="21"/>
                <w:lang w:bidi="ar"/>
              </w:rPr>
              <w:t>组织商圈活动。</w:t>
            </w:r>
            <w:r>
              <w:rPr>
                <w:rFonts w:hint="eastAsia" w:ascii="仿宋_GB2312" w:hAnsi="仿宋_GB2312" w:eastAsia="仿宋_GB2312" w:cs="仿宋_GB2312"/>
                <w:kern w:val="0"/>
                <w:sz w:val="21"/>
                <w:szCs w:val="21"/>
                <w:lang w:bidi="ar"/>
              </w:rPr>
              <w:t>整合商圈资源，依托东百中心、大洋百货、新华都、聚春园等重点企业，打造主题品牌活动，举办东街口商圈沙龙，开展商贸业态转型、品牌建设等方面的交流，宣传解读我区优惠政策。</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bidi="ar"/>
              </w:rPr>
              <w:t>持续推进</w:t>
            </w:r>
          </w:p>
        </w:tc>
        <w:tc>
          <w:tcPr>
            <w:tcW w:w="2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东街口商圈管委会</w:t>
            </w:r>
          </w:p>
          <w:p>
            <w:pPr>
              <w:widowControl/>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区发改局</w:t>
            </w:r>
          </w:p>
          <w:p>
            <w:pPr>
              <w:widowControl/>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达明美食街管委会</w:t>
            </w:r>
          </w:p>
          <w:p>
            <w:pPr>
              <w:widowControl/>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区商务局</w:t>
            </w:r>
          </w:p>
          <w:p>
            <w:pPr>
              <w:widowControl/>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相关街镇</w:t>
            </w:r>
          </w:p>
        </w:tc>
      </w:tr>
      <w:tr>
        <w:tblPrEx>
          <w:tblLayout w:type="fixed"/>
          <w:tblCellMar>
            <w:top w:w="15" w:type="dxa"/>
            <w:left w:w="15" w:type="dxa"/>
            <w:bottom w:w="15" w:type="dxa"/>
            <w:right w:w="15" w:type="dxa"/>
          </w:tblCellMar>
        </w:tblPrEx>
        <w:trPr>
          <w:trHeight w:val="266" w:hRule="atLeast"/>
        </w:trPr>
        <w:tc>
          <w:tcPr>
            <w:tcW w:w="9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b/>
                <w:bCs/>
                <w:kern w:val="0"/>
                <w:sz w:val="21"/>
                <w:szCs w:val="21"/>
                <w:lang w:bidi="ar"/>
              </w:rPr>
              <w:t>工作名称</w:t>
            </w:r>
          </w:p>
        </w:tc>
        <w:tc>
          <w:tcPr>
            <w:tcW w:w="9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b/>
                <w:bCs/>
                <w:kern w:val="0"/>
                <w:sz w:val="21"/>
                <w:szCs w:val="21"/>
                <w:lang w:bidi="ar"/>
              </w:rPr>
              <w:t>任务安排</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b/>
                <w:bCs/>
                <w:kern w:val="0"/>
                <w:sz w:val="21"/>
                <w:szCs w:val="21"/>
                <w:lang w:bidi="ar"/>
              </w:rPr>
              <w:t>时间安排</w:t>
            </w:r>
          </w:p>
        </w:tc>
        <w:tc>
          <w:tcPr>
            <w:tcW w:w="2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b/>
                <w:bCs/>
                <w:kern w:val="0"/>
                <w:sz w:val="21"/>
                <w:szCs w:val="21"/>
                <w:lang w:bidi="ar"/>
              </w:rPr>
              <w:t>责任单位</w:t>
            </w:r>
          </w:p>
        </w:tc>
      </w:tr>
      <w:tr>
        <w:tblPrEx>
          <w:tblLayout w:type="fixed"/>
          <w:tblCellMar>
            <w:top w:w="15" w:type="dxa"/>
            <w:left w:w="15" w:type="dxa"/>
            <w:bottom w:w="15" w:type="dxa"/>
            <w:right w:w="15" w:type="dxa"/>
          </w:tblCellMar>
        </w:tblPrEx>
        <w:trPr>
          <w:trHeight w:val="2850" w:hRule="atLeast"/>
        </w:trPr>
        <w:tc>
          <w:tcPr>
            <w:tcW w:w="980"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bidi="ar"/>
              </w:rPr>
              <w:t>2.推动各种实体零售创新转型，促进零售业态升级</w:t>
            </w:r>
          </w:p>
        </w:tc>
        <w:tc>
          <w:tcPr>
            <w:tcW w:w="9208" w:type="dxa"/>
            <w:tcBorders>
              <w:top w:val="single" w:color="000000" w:sz="4" w:space="0"/>
              <w:left w:val="single" w:color="000000" w:sz="4" w:space="0"/>
              <w:bottom w:val="single" w:color="000000" w:sz="4" w:space="0"/>
              <w:right w:val="single" w:color="000000" w:sz="4" w:space="0"/>
            </w:tcBorders>
            <w:vAlign w:val="center"/>
          </w:tcPr>
          <w:p>
            <w:pPr>
              <w:widowControl/>
              <w:ind w:firstLine="384" w:firstLineChars="200"/>
              <w:jc w:val="left"/>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构建线上线下融合新格局。贯彻落实省、市有关推动实体零售创新转型的政策措施，发挥实体商贸企业物流、网点等方面优势，大力培育线上线下融合发展的新型市场经营模式。</w:t>
            </w:r>
          </w:p>
          <w:p>
            <w:pPr>
              <w:widowControl/>
              <w:ind w:firstLine="384" w:firstLineChars="200"/>
              <w:jc w:val="left"/>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鼓励和引导有条件的大型实体商贸企业跨界经营，实现零售业、娱乐业、餐饮业、会展业、旅游业融合发展，形成跨行业联动，从传统销售场所向社交体验消费中心转型，满足现代城市新消费、新生活的需求。吸引网上书店在我区布局线下实体书店，鼓励打造以图书为核心，集文化展示、教育培训、创意文化用品销售、阅读交流、餐饮休闲等功能于一体的复合型零售业态、连锁超市或文化综合体，从单一的销售图书向多元化连锁体验消费转型升级。</w:t>
            </w:r>
          </w:p>
          <w:p>
            <w:pPr>
              <w:widowControl/>
              <w:jc w:val="left"/>
              <w:textAlignment w:val="center"/>
              <w:rPr>
                <w:rFonts w:hint="eastAsia" w:ascii="仿宋_GB2312" w:hAnsi="仿宋_GB2312" w:eastAsia="仿宋_GB2312" w:cs="仿宋_GB2312"/>
                <w:sz w:val="21"/>
                <w:szCs w:val="21"/>
              </w:rPr>
            </w:pP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bidi="ar"/>
              </w:rPr>
              <w:t>持续推进</w:t>
            </w:r>
          </w:p>
        </w:tc>
        <w:tc>
          <w:tcPr>
            <w:tcW w:w="2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区商务局</w:t>
            </w:r>
          </w:p>
          <w:p>
            <w:pPr>
              <w:widowControl/>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区发改局</w:t>
            </w:r>
          </w:p>
          <w:p>
            <w:pPr>
              <w:widowControl/>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区市场监督管理局</w:t>
            </w:r>
          </w:p>
          <w:p>
            <w:pPr>
              <w:widowControl/>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区投促局</w:t>
            </w:r>
            <w:r>
              <w:rPr>
                <w:rFonts w:hint="eastAsia" w:ascii="仿宋_GB2312" w:hAnsi="仿宋_GB2312" w:eastAsia="仿宋_GB2312" w:cs="仿宋_GB2312"/>
                <w:kern w:val="0"/>
                <w:sz w:val="21"/>
                <w:szCs w:val="21"/>
                <w:lang w:bidi="ar"/>
              </w:rPr>
              <w:br w:type="textWrapping"/>
            </w:r>
            <w:r>
              <w:rPr>
                <w:rFonts w:hint="eastAsia" w:ascii="仿宋_GB2312" w:hAnsi="仿宋_GB2312" w:eastAsia="仿宋_GB2312" w:cs="仿宋_GB2312"/>
                <w:kern w:val="0"/>
                <w:sz w:val="21"/>
                <w:szCs w:val="21"/>
                <w:lang w:bidi="ar"/>
              </w:rPr>
              <w:t>区文体局</w:t>
            </w:r>
            <w:r>
              <w:rPr>
                <w:rFonts w:hint="eastAsia" w:ascii="仿宋_GB2312" w:hAnsi="仿宋_GB2312" w:eastAsia="仿宋_GB2312" w:cs="仿宋_GB2312"/>
                <w:kern w:val="0"/>
                <w:sz w:val="21"/>
                <w:szCs w:val="21"/>
                <w:lang w:bidi="ar"/>
              </w:rPr>
              <w:br w:type="textWrapping"/>
            </w:r>
            <w:r>
              <w:rPr>
                <w:rFonts w:hint="eastAsia" w:ascii="仿宋_GB2312" w:hAnsi="仿宋_GB2312" w:eastAsia="仿宋_GB2312" w:cs="仿宋_GB2312"/>
                <w:kern w:val="0"/>
                <w:sz w:val="21"/>
                <w:szCs w:val="21"/>
                <w:lang w:bidi="ar"/>
              </w:rPr>
              <w:t>区广电局</w:t>
            </w:r>
            <w:r>
              <w:rPr>
                <w:rFonts w:hint="eastAsia" w:ascii="仿宋_GB2312" w:hAnsi="仿宋_GB2312" w:eastAsia="仿宋_GB2312" w:cs="仿宋_GB2312"/>
                <w:kern w:val="0"/>
                <w:sz w:val="21"/>
                <w:szCs w:val="21"/>
                <w:lang w:bidi="ar"/>
              </w:rPr>
              <w:br w:type="textWrapping"/>
            </w:r>
            <w:r>
              <w:rPr>
                <w:rFonts w:hint="eastAsia" w:ascii="仿宋_GB2312" w:hAnsi="仿宋_GB2312" w:eastAsia="仿宋_GB2312" w:cs="仿宋_GB2312"/>
                <w:kern w:val="0"/>
                <w:sz w:val="21"/>
                <w:szCs w:val="21"/>
                <w:lang w:bidi="ar"/>
              </w:rPr>
              <w:t>区旅游局</w:t>
            </w:r>
          </w:p>
          <w:p>
            <w:pPr>
              <w:widowControl/>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十街镇</w:t>
            </w:r>
          </w:p>
          <w:p>
            <w:pPr>
              <w:widowControl/>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软件园</w:t>
            </w:r>
          </w:p>
          <w:p>
            <w:pPr>
              <w:widowControl/>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bidi="ar"/>
              </w:rPr>
              <w:t>洪山园</w:t>
            </w:r>
          </w:p>
        </w:tc>
      </w:tr>
      <w:tr>
        <w:tblPrEx>
          <w:tblLayout w:type="fixed"/>
          <w:tblCellMar>
            <w:top w:w="15" w:type="dxa"/>
            <w:left w:w="15" w:type="dxa"/>
            <w:bottom w:w="15" w:type="dxa"/>
            <w:right w:w="15" w:type="dxa"/>
          </w:tblCellMar>
        </w:tblPrEx>
        <w:trPr>
          <w:trHeight w:val="2350" w:hRule="atLeast"/>
        </w:trPr>
        <w:tc>
          <w:tcPr>
            <w:tcW w:w="980" w:type="dxa"/>
            <w:vMerge w:val="continue"/>
            <w:tcBorders>
              <w:left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9208" w:type="dxa"/>
            <w:tcBorders>
              <w:top w:val="single" w:color="000000" w:sz="4" w:space="0"/>
              <w:left w:val="single" w:color="000000" w:sz="4" w:space="0"/>
              <w:bottom w:val="single" w:color="000000" w:sz="4" w:space="0"/>
              <w:right w:val="single" w:color="000000" w:sz="4" w:space="0"/>
            </w:tcBorders>
            <w:vAlign w:val="center"/>
          </w:tcPr>
          <w:p>
            <w:pPr>
              <w:widowControl/>
              <w:ind w:firstLine="384" w:firstLineChars="200"/>
              <w:jc w:val="left"/>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积极构建布局合理、设施先进、功能完善、管理规范的标准化农贸市场服务体系，推动农贸市场全面提升规范化管理水平，按照“政府引导扶持、促进业主自治、鼓励中介组织参与市场化管理服务”的整体思路，鼓励由业主自治向第三方专业化管理转变，实现政府扶持鼓励和农贸市场业主自我管理、自我服务、自我发展的良性互动，形成社会协同、管理多元的农贸市场长效管理机制，全面提升我区农贸市场购物环境。</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持续推进</w:t>
            </w:r>
          </w:p>
        </w:tc>
        <w:tc>
          <w:tcPr>
            <w:tcW w:w="2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区商务局</w:t>
            </w:r>
          </w:p>
          <w:p>
            <w:pPr>
              <w:widowControl/>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区市场监督管理局</w:t>
            </w:r>
          </w:p>
          <w:p>
            <w:pPr>
              <w:widowControl/>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区安监局</w:t>
            </w:r>
          </w:p>
          <w:p>
            <w:pPr>
              <w:widowControl/>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区发改局</w:t>
            </w:r>
          </w:p>
          <w:p>
            <w:pPr>
              <w:widowControl/>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区城管局</w:t>
            </w:r>
          </w:p>
          <w:p>
            <w:pPr>
              <w:widowControl/>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鼓楼消防大队</w:t>
            </w:r>
          </w:p>
          <w:p>
            <w:pPr>
              <w:widowControl/>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相关街镇</w:t>
            </w:r>
          </w:p>
        </w:tc>
      </w:tr>
      <w:tr>
        <w:tblPrEx>
          <w:tblLayout w:type="fixed"/>
          <w:tblCellMar>
            <w:top w:w="15" w:type="dxa"/>
            <w:left w:w="15" w:type="dxa"/>
            <w:bottom w:w="15" w:type="dxa"/>
            <w:right w:w="15" w:type="dxa"/>
          </w:tblCellMar>
        </w:tblPrEx>
        <w:trPr>
          <w:trHeight w:val="1341" w:hRule="atLeast"/>
        </w:trPr>
        <w:tc>
          <w:tcPr>
            <w:tcW w:w="980" w:type="dxa"/>
            <w:vMerge w:val="continue"/>
            <w:tcBorders>
              <w:left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9208" w:type="dxa"/>
            <w:tcBorders>
              <w:top w:val="single" w:color="000000" w:sz="4" w:space="0"/>
              <w:left w:val="single" w:color="000000" w:sz="4" w:space="0"/>
              <w:bottom w:val="single" w:color="000000" w:sz="4" w:space="0"/>
              <w:right w:val="single" w:color="000000" w:sz="4" w:space="0"/>
            </w:tcBorders>
            <w:vAlign w:val="center"/>
          </w:tcPr>
          <w:p>
            <w:pPr>
              <w:widowControl/>
              <w:ind w:firstLine="384" w:firstLineChars="200"/>
              <w:jc w:val="left"/>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 xml:space="preserve">注重发展社区商业。大力引导实体商贸企业，特别是连锁商超向社区终端延伸，支持永辉、新华都、万嘉、六意等连锁化、品牌化企业进入社区设立便利店和社区超市。鼓励连锁便利店拓展便民服务功能。增加公共事业性收费、网订店取、社区配送等附加便民服务功能，拓展服务功能区域，完善社区商业配套。探索医药零售连锁企业通过24小时便利店设置自动售药机等方式提供便民服务。 </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bidi="ar"/>
              </w:rPr>
              <w:t>2018年底前</w:t>
            </w:r>
          </w:p>
        </w:tc>
        <w:tc>
          <w:tcPr>
            <w:tcW w:w="2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bidi="ar"/>
              </w:rPr>
              <w:t>区商务局</w:t>
            </w:r>
            <w:r>
              <w:rPr>
                <w:rFonts w:hint="eastAsia" w:ascii="仿宋_GB2312" w:hAnsi="仿宋_GB2312" w:eastAsia="仿宋_GB2312" w:cs="仿宋_GB2312"/>
                <w:kern w:val="0"/>
                <w:sz w:val="21"/>
                <w:szCs w:val="21"/>
                <w:lang w:bidi="ar"/>
              </w:rPr>
              <w:br w:type="textWrapping"/>
            </w:r>
            <w:r>
              <w:rPr>
                <w:rFonts w:hint="eastAsia" w:ascii="仿宋_GB2312" w:hAnsi="仿宋_GB2312" w:eastAsia="仿宋_GB2312" w:cs="仿宋_GB2312"/>
                <w:kern w:val="0"/>
                <w:sz w:val="21"/>
                <w:szCs w:val="21"/>
                <w:lang w:bidi="ar"/>
              </w:rPr>
              <w:t>区市场监督管理局</w:t>
            </w:r>
            <w:r>
              <w:rPr>
                <w:rFonts w:hint="eastAsia" w:ascii="仿宋_GB2312" w:hAnsi="仿宋_GB2312" w:eastAsia="仿宋_GB2312" w:cs="仿宋_GB2312"/>
                <w:kern w:val="0"/>
                <w:sz w:val="21"/>
                <w:szCs w:val="21"/>
                <w:lang w:bidi="ar"/>
              </w:rPr>
              <w:br w:type="textWrapping"/>
            </w:r>
            <w:r>
              <w:rPr>
                <w:rFonts w:hint="eastAsia" w:ascii="仿宋_GB2312" w:hAnsi="仿宋_GB2312" w:eastAsia="仿宋_GB2312" w:cs="仿宋_GB2312"/>
                <w:kern w:val="0"/>
                <w:sz w:val="21"/>
                <w:szCs w:val="21"/>
                <w:lang w:bidi="ar"/>
              </w:rPr>
              <w:t>十街镇</w:t>
            </w:r>
          </w:p>
        </w:tc>
      </w:tr>
      <w:tr>
        <w:tblPrEx>
          <w:tblLayout w:type="fixed"/>
          <w:tblCellMar>
            <w:top w:w="15" w:type="dxa"/>
            <w:left w:w="15" w:type="dxa"/>
            <w:bottom w:w="15" w:type="dxa"/>
            <w:right w:w="15" w:type="dxa"/>
          </w:tblCellMar>
        </w:tblPrEx>
        <w:trPr>
          <w:trHeight w:val="1151" w:hRule="atLeast"/>
        </w:trPr>
        <w:tc>
          <w:tcPr>
            <w:tcW w:w="980"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kern w:val="0"/>
                <w:sz w:val="21"/>
                <w:szCs w:val="21"/>
                <w:lang w:bidi="ar"/>
              </w:rPr>
            </w:pPr>
          </w:p>
        </w:tc>
        <w:tc>
          <w:tcPr>
            <w:tcW w:w="9208" w:type="dxa"/>
            <w:tcBorders>
              <w:top w:val="single" w:color="000000" w:sz="4" w:space="0"/>
              <w:left w:val="single" w:color="000000" w:sz="4" w:space="0"/>
              <w:bottom w:val="single" w:color="000000" w:sz="4" w:space="0"/>
              <w:right w:val="single" w:color="000000" w:sz="4" w:space="0"/>
            </w:tcBorders>
            <w:vAlign w:val="center"/>
          </w:tcPr>
          <w:p>
            <w:pPr>
              <w:widowControl/>
              <w:ind w:firstLine="384" w:firstLineChars="200"/>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bidi="ar"/>
              </w:rPr>
              <w:t>推动老字号传承发展与保护。鼓励支持现有的东百等老字号零售企业开展品牌培育、知识产权保护、信息化系统升级改造、技术改造、工艺创新等创新转型工作。配合开展“福州老字号”评选工作。大力挖掘埋没在市井街巷中福州老字号的传统品牌、工艺和产品，采取有效措施使之得到传承与发展，使福州老字号继续发扬光大。在达明美食街等特色街区打造与东百集团南街项目招商时，优先考虑老字号企业的引入。</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持续推进</w:t>
            </w:r>
          </w:p>
        </w:tc>
        <w:tc>
          <w:tcPr>
            <w:tcW w:w="2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区商务局</w:t>
            </w:r>
          </w:p>
          <w:p>
            <w:pPr>
              <w:widowControl/>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区财政局</w:t>
            </w:r>
          </w:p>
          <w:p>
            <w:pPr>
              <w:widowControl/>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东街口商圈管委会</w:t>
            </w:r>
          </w:p>
          <w:p>
            <w:pPr>
              <w:widowControl/>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达明美食街管委会</w:t>
            </w:r>
          </w:p>
          <w:p>
            <w:pPr>
              <w:widowControl/>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十街镇</w:t>
            </w:r>
          </w:p>
        </w:tc>
      </w:tr>
      <w:tr>
        <w:tblPrEx>
          <w:tblLayout w:type="fixed"/>
          <w:tblCellMar>
            <w:top w:w="15" w:type="dxa"/>
            <w:left w:w="15" w:type="dxa"/>
            <w:bottom w:w="15" w:type="dxa"/>
            <w:right w:w="15" w:type="dxa"/>
          </w:tblCellMar>
        </w:tblPrEx>
        <w:trPr>
          <w:trHeight w:val="550" w:hRule="atLeast"/>
        </w:trPr>
        <w:tc>
          <w:tcPr>
            <w:tcW w:w="9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b/>
                <w:bCs/>
                <w:kern w:val="0"/>
                <w:sz w:val="21"/>
                <w:szCs w:val="21"/>
                <w:lang w:bidi="ar"/>
              </w:rPr>
              <w:t>工作名称</w:t>
            </w:r>
          </w:p>
        </w:tc>
        <w:tc>
          <w:tcPr>
            <w:tcW w:w="9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b/>
                <w:bCs/>
                <w:kern w:val="0"/>
                <w:sz w:val="21"/>
                <w:szCs w:val="21"/>
                <w:lang w:bidi="ar"/>
              </w:rPr>
              <w:t>任务安排</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b/>
                <w:bCs/>
                <w:kern w:val="0"/>
                <w:sz w:val="21"/>
                <w:szCs w:val="21"/>
                <w:lang w:bidi="ar"/>
              </w:rPr>
              <w:t>时间安排</w:t>
            </w:r>
          </w:p>
        </w:tc>
        <w:tc>
          <w:tcPr>
            <w:tcW w:w="2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b/>
                <w:bCs/>
                <w:kern w:val="0"/>
                <w:sz w:val="21"/>
                <w:szCs w:val="21"/>
                <w:lang w:bidi="ar"/>
              </w:rPr>
              <w:t>责任单位</w:t>
            </w:r>
          </w:p>
        </w:tc>
      </w:tr>
      <w:tr>
        <w:tblPrEx>
          <w:tblLayout w:type="fixed"/>
          <w:tblCellMar>
            <w:top w:w="15" w:type="dxa"/>
            <w:left w:w="15" w:type="dxa"/>
            <w:bottom w:w="15" w:type="dxa"/>
            <w:right w:w="15" w:type="dxa"/>
          </w:tblCellMar>
        </w:tblPrEx>
        <w:trPr>
          <w:trHeight w:val="2700" w:hRule="atLeast"/>
        </w:trPr>
        <w:tc>
          <w:tcPr>
            <w:tcW w:w="9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bidi="ar"/>
              </w:rPr>
              <w:t>3.发展商贸物流打造示范引领，助力实体零售转型</w:t>
            </w:r>
          </w:p>
        </w:tc>
        <w:tc>
          <w:tcPr>
            <w:tcW w:w="9208" w:type="dxa"/>
            <w:tcBorders>
              <w:top w:val="single" w:color="000000" w:sz="4" w:space="0"/>
              <w:left w:val="single" w:color="000000" w:sz="4" w:space="0"/>
              <w:bottom w:val="single" w:color="000000" w:sz="4" w:space="0"/>
              <w:right w:val="single" w:color="000000" w:sz="4" w:space="0"/>
            </w:tcBorders>
            <w:vAlign w:val="center"/>
          </w:tcPr>
          <w:p>
            <w:pPr>
              <w:widowControl/>
              <w:ind w:firstLine="384" w:firstLineChars="200"/>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bidi="ar"/>
              </w:rPr>
              <w:t>推进物流标准化，支持在商贸流通中应用标准托盘和周转箱，实现一贯制物流作业，降低商贸企业物流成本。支持企业配置标准托盘，支持与标准托盘相衔接的设施设备和服务流程标准化。推动“物联网+托盘”建设，推进物流链数据单元的信息标准化，鼓励企业以托盘为单元进行订货、计费和收发货。发展专业化商贸物流。推广面向多家商贸企业的多用户的共同配送模式，不断提高物流资源利用效率。鼓励发展智慧物流信息平台，提高车货匹配效率，优化物流路线，从而降低配送成本。</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bidi="ar"/>
              </w:rPr>
              <w:t>2018-2020年</w:t>
            </w:r>
          </w:p>
        </w:tc>
        <w:tc>
          <w:tcPr>
            <w:tcW w:w="2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区商务局</w:t>
            </w:r>
          </w:p>
          <w:p>
            <w:pPr>
              <w:widowControl/>
              <w:jc w:val="center"/>
              <w:textAlignment w:val="center"/>
              <w:rPr>
                <w:rFonts w:hint="eastAsia" w:ascii="仿宋_GB2312" w:hAnsi="仿宋_GB2312" w:eastAsia="仿宋_GB2312" w:cs="仿宋_GB2312"/>
                <w:kern w:val="0"/>
                <w:sz w:val="21"/>
                <w:szCs w:val="21"/>
                <w:u w:val="none"/>
                <w:lang w:bidi="ar"/>
              </w:rPr>
            </w:pPr>
            <w:r>
              <w:rPr>
                <w:rFonts w:hint="eastAsia" w:ascii="仿宋_GB2312" w:hAnsi="仿宋_GB2312" w:eastAsia="仿宋_GB2312" w:cs="仿宋_GB2312"/>
                <w:kern w:val="0"/>
                <w:sz w:val="21"/>
                <w:szCs w:val="21"/>
                <w:u w:val="none"/>
                <w:lang w:bidi="ar"/>
              </w:rPr>
              <w:t>区发改局</w:t>
            </w:r>
          </w:p>
          <w:p>
            <w:pPr>
              <w:widowControl/>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十街镇</w:t>
            </w:r>
          </w:p>
          <w:p>
            <w:pPr>
              <w:widowControl/>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软件园</w:t>
            </w:r>
          </w:p>
          <w:p>
            <w:pPr>
              <w:widowControl/>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洪山园</w:t>
            </w:r>
          </w:p>
        </w:tc>
      </w:tr>
      <w:tr>
        <w:tblPrEx>
          <w:tblLayout w:type="fixed"/>
          <w:tblCellMar>
            <w:top w:w="15" w:type="dxa"/>
            <w:left w:w="15" w:type="dxa"/>
            <w:bottom w:w="15" w:type="dxa"/>
            <w:right w:w="15" w:type="dxa"/>
          </w:tblCellMar>
        </w:tblPrEx>
        <w:trPr>
          <w:trHeight w:val="1875" w:hRule="atLeast"/>
        </w:trPr>
        <w:tc>
          <w:tcPr>
            <w:tcW w:w="9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9208" w:type="dxa"/>
            <w:tcBorders>
              <w:top w:val="single" w:color="000000" w:sz="4" w:space="0"/>
              <w:left w:val="single" w:color="000000" w:sz="4" w:space="0"/>
              <w:bottom w:val="single" w:color="000000" w:sz="4" w:space="0"/>
              <w:right w:val="single" w:color="000000" w:sz="4" w:space="0"/>
            </w:tcBorders>
            <w:vAlign w:val="center"/>
          </w:tcPr>
          <w:p>
            <w:pPr>
              <w:widowControl/>
              <w:ind w:firstLine="384" w:firstLineChars="200"/>
              <w:jc w:val="left"/>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打造实体零售创新转型示范企业。全力推动辖区实体零售创新重点企业的发展，及时总结推广示范企业在实体零售发展方面的新经验、新办法、新模式、新成果，并组织企业申报相应的扶持政策，助推创新型重点企业的快速发展。</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持续推进</w:t>
            </w:r>
          </w:p>
        </w:tc>
        <w:tc>
          <w:tcPr>
            <w:tcW w:w="2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区商务局</w:t>
            </w:r>
          </w:p>
          <w:p>
            <w:pPr>
              <w:widowControl/>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区财政局</w:t>
            </w:r>
          </w:p>
          <w:p>
            <w:pPr>
              <w:widowControl/>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bidi="ar"/>
              </w:rPr>
              <w:t>十街镇</w:t>
            </w:r>
          </w:p>
        </w:tc>
      </w:tr>
      <w:tr>
        <w:tblPrEx>
          <w:tblLayout w:type="fixed"/>
          <w:tblCellMar>
            <w:top w:w="15" w:type="dxa"/>
            <w:left w:w="15" w:type="dxa"/>
            <w:bottom w:w="15" w:type="dxa"/>
            <w:right w:w="15" w:type="dxa"/>
          </w:tblCellMar>
        </w:tblPrEx>
        <w:trPr>
          <w:trHeight w:val="3317" w:hRule="atLeast"/>
        </w:trPr>
        <w:tc>
          <w:tcPr>
            <w:tcW w:w="9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9208" w:type="dxa"/>
            <w:tcBorders>
              <w:top w:val="single" w:color="000000" w:sz="4" w:space="0"/>
              <w:left w:val="single" w:color="000000" w:sz="4" w:space="0"/>
              <w:bottom w:val="single" w:color="000000" w:sz="4" w:space="0"/>
              <w:right w:val="single" w:color="000000" w:sz="4" w:space="0"/>
            </w:tcBorders>
            <w:vAlign w:val="center"/>
          </w:tcPr>
          <w:p>
            <w:pPr>
              <w:widowControl/>
              <w:ind w:firstLine="384" w:firstLineChars="200"/>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bidi="ar"/>
              </w:rPr>
              <w:t>支持本土商贸企业“走出去”，做大做强。引导和支持有条件的本土商贸企业向社区、农村延伸，向外地扩张，以及通过对外直接投资，开拓国际市场，参与国际竞争，学习外地、境外先进经营理念，打造跨地区、跨国实体商贸企业和知名实体商贸品牌。支持我区有能力、有条件的商贸企业积极稳妥开展境外投资活动，有序推进商贸企业在境外建立分支机构和服务网络，依法合规开展业务。进一步加大第三产业招商力度，强化对境内外实体商贸龙头企业的招商。加大与世界500强商贸企业的联系，努力吸引更多国内外商贸业巨头在我市落地，力争在引进大型商贸业总部方面有大的突破，推动内资商场、超市、农贸市场、便利连锁店通过战略合作引进外资品牌、资金、技术、人才、管理，提升我市实体商贸业的整体层次和水平，鼓励引导民间资本投资实体商贸业。</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持续推进</w:t>
            </w:r>
          </w:p>
        </w:tc>
        <w:tc>
          <w:tcPr>
            <w:tcW w:w="2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区商务局</w:t>
            </w:r>
          </w:p>
          <w:p>
            <w:pPr>
              <w:widowControl/>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区投促局</w:t>
            </w:r>
          </w:p>
          <w:p>
            <w:pPr>
              <w:widowControl/>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区市场监督管理局</w:t>
            </w:r>
          </w:p>
          <w:p>
            <w:pPr>
              <w:widowControl/>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bidi="ar"/>
              </w:rPr>
              <w:t>十街镇</w:t>
            </w:r>
          </w:p>
        </w:tc>
      </w:tr>
      <w:tr>
        <w:tblPrEx>
          <w:tblLayout w:type="fixed"/>
          <w:tblCellMar>
            <w:top w:w="15" w:type="dxa"/>
            <w:left w:w="15" w:type="dxa"/>
            <w:bottom w:w="15" w:type="dxa"/>
            <w:right w:w="15" w:type="dxa"/>
          </w:tblCellMar>
        </w:tblPrEx>
        <w:trPr>
          <w:trHeight w:val="732" w:hRule="atLeast"/>
        </w:trPr>
        <w:tc>
          <w:tcPr>
            <w:tcW w:w="9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b/>
                <w:bCs/>
                <w:kern w:val="0"/>
                <w:sz w:val="21"/>
                <w:szCs w:val="21"/>
                <w:lang w:bidi="ar"/>
              </w:rPr>
              <w:t>工作名称</w:t>
            </w:r>
          </w:p>
        </w:tc>
        <w:tc>
          <w:tcPr>
            <w:tcW w:w="9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b/>
                <w:bCs/>
                <w:kern w:val="0"/>
                <w:sz w:val="21"/>
                <w:szCs w:val="21"/>
                <w:lang w:bidi="ar"/>
              </w:rPr>
              <w:t>任务安排</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b/>
                <w:bCs/>
                <w:kern w:val="0"/>
                <w:sz w:val="21"/>
                <w:szCs w:val="21"/>
                <w:lang w:bidi="ar"/>
              </w:rPr>
              <w:t>时间安排</w:t>
            </w:r>
          </w:p>
        </w:tc>
        <w:tc>
          <w:tcPr>
            <w:tcW w:w="2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b/>
                <w:bCs/>
                <w:kern w:val="0"/>
                <w:sz w:val="21"/>
                <w:szCs w:val="21"/>
                <w:lang w:bidi="ar"/>
              </w:rPr>
              <w:t>责任单位</w:t>
            </w:r>
          </w:p>
        </w:tc>
      </w:tr>
      <w:tr>
        <w:tblPrEx>
          <w:tblLayout w:type="fixed"/>
          <w:tblCellMar>
            <w:top w:w="15" w:type="dxa"/>
            <w:left w:w="15" w:type="dxa"/>
            <w:bottom w:w="15" w:type="dxa"/>
            <w:right w:w="15" w:type="dxa"/>
          </w:tblCellMar>
        </w:tblPrEx>
        <w:trPr>
          <w:trHeight w:val="2858" w:hRule="atLeast"/>
        </w:trPr>
        <w:tc>
          <w:tcPr>
            <w:tcW w:w="9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bidi="ar"/>
              </w:rPr>
              <w:t>4.进一步简政放权</w:t>
            </w:r>
          </w:p>
        </w:tc>
        <w:tc>
          <w:tcPr>
            <w:tcW w:w="9208" w:type="dxa"/>
            <w:tcBorders>
              <w:top w:val="single" w:color="000000" w:sz="4" w:space="0"/>
              <w:left w:val="single" w:color="000000" w:sz="4" w:space="0"/>
              <w:bottom w:val="single" w:color="000000" w:sz="4" w:space="0"/>
              <w:right w:val="single" w:color="000000" w:sz="4" w:space="0"/>
            </w:tcBorders>
            <w:vAlign w:val="center"/>
          </w:tcPr>
          <w:p>
            <w:pPr>
              <w:widowControl/>
              <w:ind w:firstLine="384" w:firstLineChars="200"/>
              <w:jc w:val="left"/>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深化“放管服”改革，优化服务和管理，针对优化营商环境形成常态化的工作机制。在实际工作中不断创新优化，着力构建“亲”“清”新型政商关系。深入贯彻落实“窗口无否决权”工作机制，进一步优化流程、简化材料，提高办事效率，提升服务质量。积极探索推广“互联网+公安政务服务”新模式，拓展“两微多端”办事渠道，围绕户政、交通、出入境、治安、消防等与群众切身利益密切相关的职能领域，开发更多贴近民生的网上服务和“指尖办事”项目，切实方便群众办事创业。</w:t>
            </w:r>
          </w:p>
          <w:p>
            <w:pPr>
              <w:widowControl/>
              <w:ind w:firstLine="384" w:firstLineChars="200"/>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bidi="ar"/>
              </w:rPr>
              <w:t>推动住所登记改革。连锁企业从事出版物等零售业务，其非企业法人直营门店可直接凭企业总部获取的许可文件复印件到门店所在地主管部门备案。依法对临街店铺装潢装修进行管理，依法对户外营销活动进行审批。</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bidi="ar"/>
              </w:rPr>
              <w:t>持续推进</w:t>
            </w:r>
          </w:p>
        </w:tc>
        <w:tc>
          <w:tcPr>
            <w:tcW w:w="226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区商务局</w:t>
            </w:r>
            <w:r>
              <w:rPr>
                <w:rFonts w:hint="eastAsia" w:ascii="仿宋_GB2312" w:hAnsi="仿宋_GB2312" w:eastAsia="仿宋_GB2312" w:cs="仿宋_GB2312"/>
                <w:kern w:val="0"/>
                <w:sz w:val="21"/>
                <w:szCs w:val="21"/>
                <w:lang w:bidi="ar"/>
              </w:rPr>
              <w:br w:type="textWrapping"/>
            </w:r>
            <w:r>
              <w:rPr>
                <w:rFonts w:hint="eastAsia" w:ascii="仿宋_GB2312" w:hAnsi="仿宋_GB2312" w:eastAsia="仿宋_GB2312" w:cs="仿宋_GB2312"/>
                <w:kern w:val="0"/>
                <w:sz w:val="21"/>
                <w:szCs w:val="21"/>
                <w:lang w:bidi="ar"/>
              </w:rPr>
              <w:t>区市场监管局</w:t>
            </w:r>
            <w:r>
              <w:rPr>
                <w:rFonts w:hint="eastAsia" w:ascii="仿宋_GB2312" w:hAnsi="仿宋_GB2312" w:eastAsia="仿宋_GB2312" w:cs="仿宋_GB2312"/>
                <w:kern w:val="0"/>
                <w:sz w:val="21"/>
                <w:szCs w:val="21"/>
                <w:lang w:bidi="ar"/>
              </w:rPr>
              <w:br w:type="textWrapping"/>
            </w:r>
            <w:r>
              <w:rPr>
                <w:rFonts w:hint="eastAsia" w:ascii="仿宋_GB2312" w:hAnsi="仿宋_GB2312" w:eastAsia="仿宋_GB2312" w:cs="仿宋_GB2312"/>
                <w:kern w:val="0"/>
                <w:sz w:val="21"/>
                <w:szCs w:val="21"/>
                <w:lang w:bidi="ar"/>
              </w:rPr>
              <w:t>区审改办</w:t>
            </w:r>
            <w:r>
              <w:rPr>
                <w:rFonts w:hint="eastAsia" w:ascii="仿宋_GB2312" w:hAnsi="仿宋_GB2312" w:eastAsia="仿宋_GB2312" w:cs="仿宋_GB2312"/>
                <w:kern w:val="0"/>
                <w:sz w:val="21"/>
                <w:szCs w:val="21"/>
                <w:lang w:bidi="ar"/>
              </w:rPr>
              <w:br w:type="textWrapping"/>
            </w:r>
            <w:r>
              <w:rPr>
                <w:rFonts w:hint="eastAsia" w:ascii="仿宋_GB2312" w:hAnsi="仿宋_GB2312" w:eastAsia="仿宋_GB2312" w:cs="仿宋_GB2312"/>
                <w:kern w:val="0"/>
                <w:sz w:val="21"/>
                <w:szCs w:val="21"/>
                <w:lang w:bidi="ar"/>
              </w:rPr>
              <w:t>区行政服务中心</w:t>
            </w:r>
          </w:p>
          <w:p>
            <w:pPr>
              <w:widowControl/>
              <w:snapToGrid w:val="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（服务企业中心）</w:t>
            </w:r>
          </w:p>
          <w:p>
            <w:pPr>
              <w:widowControl/>
              <w:snapToGrid w:val="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区文体局</w:t>
            </w:r>
          </w:p>
          <w:p>
            <w:pPr>
              <w:widowControl/>
              <w:snapToGrid w:val="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区广电局</w:t>
            </w:r>
          </w:p>
          <w:p>
            <w:pPr>
              <w:widowControl/>
              <w:snapToGrid w:val="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区城管局</w:t>
            </w:r>
            <w:r>
              <w:rPr>
                <w:rFonts w:hint="eastAsia" w:ascii="仿宋_GB2312" w:hAnsi="仿宋_GB2312" w:eastAsia="仿宋_GB2312" w:cs="仿宋_GB2312"/>
                <w:kern w:val="0"/>
                <w:sz w:val="21"/>
                <w:szCs w:val="21"/>
                <w:lang w:bidi="ar"/>
              </w:rPr>
              <w:br w:type="textWrapping"/>
            </w:r>
            <w:r>
              <w:rPr>
                <w:rFonts w:hint="eastAsia" w:ascii="仿宋_GB2312" w:hAnsi="仿宋_GB2312" w:eastAsia="仿宋_GB2312" w:cs="仿宋_GB2312"/>
                <w:kern w:val="0"/>
                <w:sz w:val="21"/>
                <w:szCs w:val="21"/>
                <w:lang w:bidi="ar"/>
              </w:rPr>
              <w:t>鼓楼公安分局</w:t>
            </w:r>
          </w:p>
          <w:p>
            <w:pPr>
              <w:widowControl/>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bidi="ar"/>
              </w:rPr>
              <w:t>十街镇</w:t>
            </w:r>
          </w:p>
        </w:tc>
      </w:tr>
      <w:tr>
        <w:tblPrEx>
          <w:tblLayout w:type="fixed"/>
          <w:tblCellMar>
            <w:top w:w="15" w:type="dxa"/>
            <w:left w:w="15" w:type="dxa"/>
            <w:bottom w:w="15" w:type="dxa"/>
            <w:right w:w="15" w:type="dxa"/>
          </w:tblCellMar>
        </w:tblPrEx>
        <w:trPr>
          <w:trHeight w:val="2160" w:hRule="atLeast"/>
        </w:trPr>
        <w:tc>
          <w:tcPr>
            <w:tcW w:w="980" w:type="dxa"/>
            <w:vMerge w:val="continue"/>
            <w:tcBorders>
              <w:top w:val="single" w:color="000000" w:sz="4" w:space="0"/>
              <w:left w:val="single" w:color="000000" w:sz="4" w:space="0"/>
              <w:bottom w:val="single" w:color="000000" w:sz="4" w:space="0"/>
              <w:right w:val="single" w:color="000000" w:sz="4" w:space="0"/>
            </w:tcBorders>
            <w:vAlign w:val="top"/>
          </w:tcPr>
          <w:p>
            <w:pPr>
              <w:jc w:val="center"/>
              <w:rPr>
                <w:rFonts w:hint="eastAsia" w:ascii="仿宋_GB2312" w:hAnsi="仿宋_GB2312" w:eastAsia="仿宋_GB2312" w:cs="仿宋_GB2312"/>
                <w:sz w:val="21"/>
                <w:szCs w:val="21"/>
              </w:rPr>
            </w:pPr>
          </w:p>
        </w:tc>
        <w:tc>
          <w:tcPr>
            <w:tcW w:w="9208" w:type="dxa"/>
            <w:tcBorders>
              <w:top w:val="single" w:color="000000" w:sz="4" w:space="0"/>
              <w:left w:val="single" w:color="000000" w:sz="4" w:space="0"/>
              <w:bottom w:val="single" w:color="000000" w:sz="4" w:space="0"/>
              <w:right w:val="single" w:color="000000" w:sz="4" w:space="0"/>
            </w:tcBorders>
            <w:vAlign w:val="center"/>
          </w:tcPr>
          <w:p>
            <w:pPr>
              <w:widowControl/>
              <w:ind w:firstLine="384" w:firstLineChars="200"/>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bidi="ar"/>
              </w:rPr>
              <w:t>对重点招商企业，专门开辟绿色通道，采取专人指导、优先受理、加急办理、全程跟踪等保障措施予以特事特办、马上就办，促进招商引资项目加快落地，实现投产运营。构建证照送达多元化体系，完善企业登记全程电子化生态链条，除为招商引资企业开通现场领照的绿色通道外，企业还可自主选择通过营业执照自助打印终端领照或邮寄专递送达的服务方式实现就近就地领取营业执照，真正打通市场主体准入“最后一公里”，实现“最多跑一趟”、“一趟不用跑”的服务目标。</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bidi="ar"/>
              </w:rPr>
              <w:t>持续推进</w:t>
            </w:r>
          </w:p>
        </w:tc>
        <w:tc>
          <w:tcPr>
            <w:tcW w:w="2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区商务局</w:t>
            </w:r>
            <w:r>
              <w:rPr>
                <w:rFonts w:hint="eastAsia" w:ascii="仿宋_GB2312" w:hAnsi="仿宋_GB2312" w:eastAsia="仿宋_GB2312" w:cs="仿宋_GB2312"/>
                <w:kern w:val="0"/>
                <w:sz w:val="21"/>
                <w:szCs w:val="21"/>
                <w:lang w:bidi="ar"/>
              </w:rPr>
              <w:br w:type="textWrapping"/>
            </w:r>
            <w:r>
              <w:rPr>
                <w:rFonts w:hint="eastAsia" w:ascii="仿宋_GB2312" w:hAnsi="仿宋_GB2312" w:eastAsia="仿宋_GB2312" w:cs="仿宋_GB2312"/>
                <w:kern w:val="0"/>
                <w:sz w:val="21"/>
                <w:szCs w:val="21"/>
                <w:lang w:bidi="ar"/>
              </w:rPr>
              <w:t>区投促局</w:t>
            </w:r>
            <w:r>
              <w:rPr>
                <w:rFonts w:hint="eastAsia" w:ascii="仿宋_GB2312" w:hAnsi="仿宋_GB2312" w:eastAsia="仿宋_GB2312" w:cs="仿宋_GB2312"/>
                <w:kern w:val="0"/>
                <w:sz w:val="21"/>
                <w:szCs w:val="21"/>
                <w:lang w:bidi="ar"/>
              </w:rPr>
              <w:br w:type="textWrapping"/>
            </w:r>
            <w:r>
              <w:rPr>
                <w:rFonts w:hint="eastAsia" w:ascii="仿宋_GB2312" w:hAnsi="仿宋_GB2312" w:eastAsia="仿宋_GB2312" w:cs="仿宋_GB2312"/>
                <w:kern w:val="0"/>
                <w:sz w:val="21"/>
                <w:szCs w:val="21"/>
                <w:lang w:bidi="ar"/>
              </w:rPr>
              <w:t>区市场监管局</w:t>
            </w:r>
            <w:r>
              <w:rPr>
                <w:rFonts w:hint="eastAsia" w:ascii="仿宋_GB2312" w:hAnsi="仿宋_GB2312" w:eastAsia="仿宋_GB2312" w:cs="仿宋_GB2312"/>
                <w:kern w:val="0"/>
                <w:sz w:val="21"/>
                <w:szCs w:val="21"/>
                <w:lang w:bidi="ar"/>
              </w:rPr>
              <w:br w:type="textWrapping"/>
            </w:r>
            <w:r>
              <w:rPr>
                <w:rFonts w:hint="eastAsia" w:ascii="仿宋_GB2312" w:hAnsi="仿宋_GB2312" w:eastAsia="仿宋_GB2312" w:cs="仿宋_GB2312"/>
                <w:kern w:val="0"/>
                <w:sz w:val="21"/>
                <w:szCs w:val="21"/>
                <w:lang w:bidi="ar"/>
              </w:rPr>
              <w:t>区行政服务中心</w:t>
            </w:r>
          </w:p>
          <w:p>
            <w:pPr>
              <w:widowControl/>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bidi="ar"/>
              </w:rPr>
              <w:t>（服务企业中心）</w:t>
            </w:r>
          </w:p>
        </w:tc>
      </w:tr>
      <w:tr>
        <w:tblPrEx>
          <w:tblLayout w:type="fixed"/>
          <w:tblCellMar>
            <w:top w:w="15" w:type="dxa"/>
            <w:left w:w="15" w:type="dxa"/>
            <w:bottom w:w="15" w:type="dxa"/>
            <w:right w:w="15" w:type="dxa"/>
          </w:tblCellMar>
        </w:tblPrEx>
        <w:trPr>
          <w:trHeight w:val="2648" w:hRule="atLeast"/>
        </w:trPr>
        <w:tc>
          <w:tcPr>
            <w:tcW w:w="9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bidi="ar"/>
              </w:rPr>
              <w:t>5.促进市场公平竞争</w:t>
            </w:r>
          </w:p>
        </w:tc>
        <w:tc>
          <w:tcPr>
            <w:tcW w:w="9208" w:type="dxa"/>
            <w:tcBorders>
              <w:top w:val="single" w:color="000000" w:sz="4" w:space="0"/>
              <w:left w:val="single" w:color="000000" w:sz="4" w:space="0"/>
              <w:bottom w:val="single" w:color="000000" w:sz="4" w:space="0"/>
              <w:right w:val="single" w:color="000000" w:sz="4" w:space="0"/>
            </w:tcBorders>
            <w:vAlign w:val="center"/>
          </w:tcPr>
          <w:p>
            <w:pPr>
              <w:widowControl/>
              <w:ind w:firstLine="384" w:firstLineChars="200"/>
              <w:jc w:val="left"/>
              <w:textAlignment w:val="center"/>
              <w:rPr>
                <w:rFonts w:ascii="仿宋_GB2312" w:hAnsi="仿宋_GB2312" w:eastAsia="仿宋_GB2312" w:cs="仿宋_GB2312"/>
                <w:sz w:val="21"/>
                <w:szCs w:val="21"/>
              </w:rPr>
            </w:pPr>
            <w:r>
              <w:rPr>
                <w:rFonts w:hint="eastAsia" w:ascii="仿宋_GB2312" w:hAnsi="仿宋_GB2312" w:eastAsia="仿宋_GB2312" w:cs="仿宋_GB2312"/>
                <w:kern w:val="0"/>
                <w:sz w:val="21"/>
                <w:szCs w:val="21"/>
                <w:lang w:bidi="ar"/>
              </w:rPr>
              <w:t>打击不正当竞争，维护市场秩序。强化对垄断行业的监管，严肃查处垄断协议、滥用市场支配地位等价格垄断行为，严厉打击商标侵权、商业贿赂、制售假冒伪劣商品等违法行为，维护市场竞争秩序；依法处理职业打假人欺诈式消费维权行为，特别是恶意索赔，请差评师恶意损害竞争对手，利用互联网造谣、进行商业诋毁等不正当竞争行为。</w:t>
            </w:r>
          </w:p>
          <w:p>
            <w:pPr>
              <w:widowControl/>
              <w:ind w:firstLine="384" w:firstLineChars="200"/>
              <w:jc w:val="left"/>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加强相关部门、重点企业、行业协会的联动，建立信息共享机制，形成打击合力，严厉打击侵权假冒犯罪活动。</w:t>
            </w:r>
          </w:p>
          <w:p>
            <w:pPr>
              <w:widowControl/>
              <w:ind w:firstLine="384" w:firstLineChars="200"/>
              <w:jc w:val="left"/>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重点检查企业总部和配送中心，减少对销售普通商品零售门店的重复检查，同等对待大型连锁企业与小微企业、个体工商户（农贸市场），合理确定生产者、经营者责任义务。</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bidi="ar"/>
              </w:rPr>
              <w:t>持续推进</w:t>
            </w:r>
          </w:p>
        </w:tc>
        <w:tc>
          <w:tcPr>
            <w:tcW w:w="226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区“双打”工作领导小组成员单位</w:t>
            </w:r>
          </w:p>
          <w:p>
            <w:pPr>
              <w:widowControl/>
              <w:snapToGrid w:val="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区市场监管局</w:t>
            </w:r>
          </w:p>
          <w:p>
            <w:pPr>
              <w:widowControl/>
              <w:snapToGrid w:val="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十街镇</w:t>
            </w:r>
          </w:p>
        </w:tc>
      </w:tr>
      <w:tr>
        <w:tblPrEx>
          <w:tblLayout w:type="fixed"/>
          <w:tblCellMar>
            <w:top w:w="15" w:type="dxa"/>
            <w:left w:w="15" w:type="dxa"/>
            <w:bottom w:w="15" w:type="dxa"/>
            <w:right w:w="15" w:type="dxa"/>
          </w:tblCellMar>
        </w:tblPrEx>
        <w:trPr>
          <w:trHeight w:val="549" w:hRule="atLeast"/>
        </w:trPr>
        <w:tc>
          <w:tcPr>
            <w:tcW w:w="9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b/>
                <w:bCs/>
                <w:kern w:val="0"/>
                <w:sz w:val="21"/>
                <w:szCs w:val="21"/>
                <w:lang w:bidi="ar"/>
              </w:rPr>
              <w:t>工作名称</w:t>
            </w:r>
          </w:p>
        </w:tc>
        <w:tc>
          <w:tcPr>
            <w:tcW w:w="9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b/>
                <w:bCs/>
                <w:kern w:val="0"/>
                <w:sz w:val="21"/>
                <w:szCs w:val="21"/>
                <w:lang w:bidi="ar"/>
              </w:rPr>
              <w:t>任务安排</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b/>
                <w:bCs/>
                <w:kern w:val="0"/>
                <w:sz w:val="21"/>
                <w:szCs w:val="21"/>
                <w:lang w:bidi="ar"/>
              </w:rPr>
              <w:t>时间安排</w:t>
            </w:r>
          </w:p>
        </w:tc>
        <w:tc>
          <w:tcPr>
            <w:tcW w:w="2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b/>
                <w:bCs/>
                <w:kern w:val="0"/>
                <w:sz w:val="21"/>
                <w:szCs w:val="21"/>
                <w:lang w:bidi="ar"/>
              </w:rPr>
              <w:t>责任单位</w:t>
            </w:r>
          </w:p>
        </w:tc>
      </w:tr>
      <w:tr>
        <w:tblPrEx>
          <w:tblLayout w:type="fixed"/>
          <w:tblCellMar>
            <w:top w:w="15" w:type="dxa"/>
            <w:left w:w="15" w:type="dxa"/>
            <w:bottom w:w="15" w:type="dxa"/>
            <w:right w:w="15" w:type="dxa"/>
          </w:tblCellMar>
        </w:tblPrEx>
        <w:trPr>
          <w:trHeight w:val="2231" w:hRule="atLeast"/>
        </w:trPr>
        <w:tc>
          <w:tcPr>
            <w:tcW w:w="9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6.完善公共服务体系</w:t>
            </w:r>
          </w:p>
        </w:tc>
        <w:tc>
          <w:tcPr>
            <w:tcW w:w="9208" w:type="dxa"/>
            <w:tcBorders>
              <w:top w:val="single" w:color="000000" w:sz="4" w:space="0"/>
              <w:left w:val="single" w:color="000000" w:sz="4" w:space="0"/>
              <w:bottom w:val="single" w:color="000000" w:sz="4" w:space="0"/>
              <w:right w:val="single" w:color="000000" w:sz="4" w:space="0"/>
            </w:tcBorders>
            <w:vAlign w:val="center"/>
          </w:tcPr>
          <w:p>
            <w:pPr>
              <w:widowControl/>
              <w:ind w:firstLine="384" w:firstLineChars="200"/>
              <w:jc w:val="left"/>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盘活现有商业设施资源，加强直管公产非住宅商业用房转租管理。</w:t>
            </w:r>
          </w:p>
          <w:p>
            <w:pPr>
              <w:widowControl/>
              <w:ind w:firstLine="384" w:firstLineChars="200"/>
              <w:jc w:val="left"/>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支持高等院校、各类职业教育培养更多的高端商业人才，以及流行设计、电子商务、信息服务、网络支付等专业人才，为实体商贸经济创新转型、持续发展提供人才保障。</w:t>
            </w:r>
          </w:p>
          <w:p>
            <w:pPr>
              <w:widowControl/>
              <w:ind w:firstLine="384" w:firstLineChars="200"/>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bidi="ar"/>
              </w:rPr>
              <w:t>加强商业协会建设，充分发挥有关协会职能和作用，推进社会组织信用体系建设，强化行业自律和服务，积极培育专业的服务机构和行业组织，承接商贸企业信息咨询、行业统计、创业辅导、从业人员培训等职能。对符合条件的行业协会商会实行直接登记，充分发挥有关协会职能和作用。</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bidi="ar"/>
              </w:rPr>
              <w:t>持续推进</w:t>
            </w:r>
          </w:p>
        </w:tc>
        <w:tc>
          <w:tcPr>
            <w:tcW w:w="226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区商务局</w:t>
            </w:r>
          </w:p>
          <w:p>
            <w:pPr>
              <w:widowControl/>
              <w:snapToGrid w:val="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区国有资产管理中心</w:t>
            </w:r>
          </w:p>
          <w:p>
            <w:pPr>
              <w:widowControl/>
              <w:snapToGrid w:val="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区民政局</w:t>
            </w:r>
          </w:p>
          <w:p>
            <w:pPr>
              <w:widowControl/>
              <w:snapToGrid w:val="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区教育局</w:t>
            </w:r>
          </w:p>
          <w:p>
            <w:pPr>
              <w:widowControl/>
              <w:snapToGrid w:val="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区人社局</w:t>
            </w:r>
          </w:p>
          <w:p>
            <w:pPr>
              <w:widowControl/>
              <w:snapToGrid w:val="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区发改局</w:t>
            </w:r>
          </w:p>
          <w:p>
            <w:pPr>
              <w:widowControl/>
              <w:snapToGrid w:val="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十街镇</w:t>
            </w:r>
          </w:p>
        </w:tc>
      </w:tr>
      <w:tr>
        <w:tblPrEx>
          <w:tblLayout w:type="fixed"/>
          <w:tblCellMar>
            <w:top w:w="15" w:type="dxa"/>
            <w:left w:w="15" w:type="dxa"/>
            <w:bottom w:w="15" w:type="dxa"/>
            <w:right w:w="15" w:type="dxa"/>
          </w:tblCellMar>
        </w:tblPrEx>
        <w:trPr>
          <w:trHeight w:val="2361" w:hRule="atLeast"/>
        </w:trPr>
        <w:tc>
          <w:tcPr>
            <w:tcW w:w="980"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7.加大政策扶持力度</w:t>
            </w:r>
          </w:p>
        </w:tc>
        <w:tc>
          <w:tcPr>
            <w:tcW w:w="9208" w:type="dxa"/>
            <w:tcBorders>
              <w:top w:val="single" w:color="000000" w:sz="4" w:space="0"/>
              <w:left w:val="single" w:color="000000" w:sz="4" w:space="0"/>
              <w:bottom w:val="single" w:color="000000" w:sz="4" w:space="0"/>
              <w:right w:val="single" w:color="000000" w:sz="4" w:space="0"/>
            </w:tcBorders>
            <w:vAlign w:val="center"/>
          </w:tcPr>
          <w:p>
            <w:pPr>
              <w:widowControl/>
              <w:ind w:firstLine="384" w:firstLineChars="200"/>
              <w:jc w:val="left"/>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加强财税支持。发挥财政资金引导带动作用，对实体零售创新转型工作予以支持。落实好总分支机构汇总缴纳企业所得税、增值税相关规定。营造线上线下企业公平竞争的税收环境。落实取消税务发票工本费政策，不得以任何理由强制零售企业使用冠名发票、卷式发票，大力推广电子发票。</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持续推进</w:t>
            </w:r>
          </w:p>
        </w:tc>
        <w:tc>
          <w:tcPr>
            <w:tcW w:w="2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区财政局</w:t>
            </w:r>
          </w:p>
          <w:p>
            <w:pPr>
              <w:widowControl/>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区地税局</w:t>
            </w:r>
          </w:p>
          <w:p>
            <w:pPr>
              <w:widowControl/>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区国税局</w:t>
            </w:r>
          </w:p>
          <w:p>
            <w:pPr>
              <w:widowControl/>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区发改局</w:t>
            </w:r>
          </w:p>
          <w:p>
            <w:pPr>
              <w:widowControl/>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区商务局</w:t>
            </w:r>
          </w:p>
          <w:p>
            <w:pPr>
              <w:widowControl/>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东街口商圈管委会</w:t>
            </w:r>
          </w:p>
          <w:p>
            <w:pPr>
              <w:widowControl/>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十街镇</w:t>
            </w:r>
          </w:p>
        </w:tc>
      </w:tr>
      <w:tr>
        <w:tblPrEx>
          <w:tblLayout w:type="fixed"/>
          <w:tblCellMar>
            <w:top w:w="15" w:type="dxa"/>
            <w:left w:w="15" w:type="dxa"/>
            <w:bottom w:w="15" w:type="dxa"/>
            <w:right w:w="15" w:type="dxa"/>
          </w:tblCellMar>
        </w:tblPrEx>
        <w:trPr>
          <w:trHeight w:val="2225" w:hRule="atLeast"/>
        </w:trPr>
        <w:tc>
          <w:tcPr>
            <w:tcW w:w="980"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1"/>
                <w:szCs w:val="21"/>
              </w:rPr>
            </w:pPr>
          </w:p>
        </w:tc>
        <w:tc>
          <w:tcPr>
            <w:tcW w:w="9208" w:type="dxa"/>
            <w:tcBorders>
              <w:top w:val="single" w:color="000000" w:sz="4" w:space="0"/>
              <w:left w:val="single" w:color="000000" w:sz="4" w:space="0"/>
              <w:bottom w:val="single" w:color="000000" w:sz="4" w:space="0"/>
              <w:right w:val="single" w:color="000000" w:sz="4" w:space="0"/>
            </w:tcBorders>
            <w:vAlign w:val="center"/>
          </w:tcPr>
          <w:p>
            <w:pPr>
              <w:widowControl/>
              <w:ind w:firstLine="384" w:firstLineChars="200"/>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bidi="ar"/>
              </w:rPr>
              <w:t>加强金融政策支持。拓宽商贸企业融资渠道，推动各银行业机构进一步向商贸服务业企业倾斜；加强政银企合作，推动在榕银行机构加快推广商贸服务业企业无还本续贷，争取做大无还本续贷的规模，确保正常经营企业资金不断供、不增加续贷成本；试点推广面向包括科技型服务业企业的园区企业厂房按揭贷款。</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bidi="ar"/>
              </w:rPr>
              <w:t>持续推动</w:t>
            </w:r>
          </w:p>
        </w:tc>
        <w:tc>
          <w:tcPr>
            <w:tcW w:w="226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区商务局</w:t>
            </w:r>
          </w:p>
          <w:p>
            <w:pPr>
              <w:widowControl/>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区投促局</w:t>
            </w:r>
            <w:r>
              <w:rPr>
                <w:rFonts w:hint="eastAsia" w:ascii="仿宋_GB2312" w:hAnsi="仿宋_GB2312" w:eastAsia="仿宋_GB2312" w:cs="仿宋_GB2312"/>
                <w:kern w:val="0"/>
                <w:sz w:val="21"/>
                <w:szCs w:val="21"/>
                <w:lang w:bidi="ar"/>
              </w:rPr>
              <w:br w:type="textWrapping"/>
            </w:r>
            <w:r>
              <w:rPr>
                <w:rFonts w:hint="eastAsia" w:ascii="仿宋_GB2312" w:hAnsi="仿宋_GB2312" w:eastAsia="仿宋_GB2312" w:cs="仿宋_GB2312"/>
                <w:kern w:val="0"/>
                <w:sz w:val="21"/>
                <w:szCs w:val="21"/>
                <w:lang w:bidi="ar"/>
              </w:rPr>
              <w:t>十街镇</w:t>
            </w:r>
          </w:p>
          <w:p>
            <w:pPr>
              <w:widowControl/>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bidi="ar"/>
              </w:rPr>
              <w:t>软件园</w:t>
            </w:r>
            <w:r>
              <w:rPr>
                <w:rFonts w:hint="eastAsia" w:ascii="仿宋_GB2312" w:hAnsi="仿宋_GB2312" w:eastAsia="仿宋_GB2312" w:cs="仿宋_GB2312"/>
                <w:kern w:val="0"/>
                <w:sz w:val="21"/>
                <w:szCs w:val="21"/>
                <w:lang w:bidi="ar"/>
              </w:rPr>
              <w:br w:type="textWrapping"/>
            </w:r>
            <w:r>
              <w:rPr>
                <w:rFonts w:hint="eastAsia" w:ascii="仿宋_GB2312" w:hAnsi="仿宋_GB2312" w:eastAsia="仿宋_GB2312" w:cs="仿宋_GB2312"/>
                <w:kern w:val="0"/>
                <w:sz w:val="21"/>
                <w:szCs w:val="21"/>
                <w:lang w:bidi="ar"/>
              </w:rPr>
              <w:t>洪山园</w:t>
            </w:r>
          </w:p>
        </w:tc>
      </w:tr>
    </w:tbl>
    <w:p>
      <w:pPr>
        <w:snapToGrid w:val="0"/>
        <w:spacing w:line="560" w:lineRule="exact"/>
        <w:ind w:right="24"/>
        <w:rPr>
          <w:rFonts w:hint="eastAsia" w:ascii="仿宋_GB2312" w:eastAsia="仿宋_GB2312"/>
          <w:snapToGrid w:val="0"/>
          <w:kern w:val="0"/>
          <w:szCs w:val="32"/>
          <w:lang w:eastAsia="zh-CN"/>
        </w:rPr>
      </w:pPr>
    </w:p>
    <w:p>
      <w:pPr>
        <w:wordWrap w:val="0"/>
        <w:snapToGrid w:val="0"/>
        <w:spacing w:line="560" w:lineRule="exact"/>
        <w:ind w:right="600"/>
        <w:rPr>
          <w:rFonts w:hint="eastAsia" w:ascii="仿宋_GB2312"/>
          <w:spacing w:val="-6"/>
        </w:rPr>
      </w:pPr>
    </w:p>
    <w:p>
      <w:bookmarkStart w:id="0" w:name="_GoBack"/>
      <w:bookmarkEnd w:id="0"/>
    </w:p>
    <w:sectPr>
      <w:pgSz w:w="16838" w:h="11906" w:orient="landscape"/>
      <w:pgMar w:top="1531" w:right="1701" w:bottom="1531" w:left="1701" w:header="851" w:footer="1418" w:gutter="0"/>
      <w:pgNumType w:fmt="numberInDash"/>
      <w:cols w:space="720" w:num="1"/>
      <w:docGrid w:type="linesAndChars" w:linePitch="634" w:charSpace="-38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615A8F"/>
    <w:rsid w:val="0B615A8F"/>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2018-05-16T03:37:00Z</dcterms:created>
  <dc:creator>粽子</dc:creator>
  <cp:lastModifiedBy>粽子</cp:lastModifiedBy>
  <dcterms:modified xsi:type="dcterms:W3CDTF">2018-05-16T03:38:06Z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