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40"/>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96" w:hRule="atLeast"/>
          <w:hidden/>
        </w:trPr>
        <w:tc>
          <w:tcPr>
            <w:tcW w:w="7540" w:type="dxa"/>
            <w:tcBorders>
              <w:tl2br w:val="nil"/>
              <w:tr2bl w:val="nil"/>
            </w:tcBorders>
            <w:noWrap w:val="0"/>
            <w:vAlign w:val="center"/>
          </w:tcPr>
          <w:p>
            <w:pPr>
              <w:rPr>
                <w:rFonts w:hint="eastAsia" w:ascii="方正小标宋简体" w:hAnsi="方正小标宋简体" w:eastAsia="方正小标宋简体" w:cs="方正小标宋简体"/>
                <w:b w:val="0"/>
                <w:bCs w:val="0"/>
                <w:color w:val="FF0000"/>
                <w:sz w:val="84"/>
                <w:lang w:eastAsia="zh-CN"/>
              </w:rPr>
            </w:pPr>
            <w:bookmarkStart w:id="0" w:name="_GoBack"/>
            <w:bookmarkEnd w:id="0"/>
            <w:r>
              <w:rPr>
                <w:rFonts w:hint="eastAsia" w:ascii="宋体" w:hAnsi="宋体" w:eastAsia="宋体" w:cs="宋体"/>
                <w:b/>
                <w:bCs/>
                <w:vanish/>
                <w:color w:val="FF0000"/>
                <w:spacing w:val="18"/>
                <w:w w:val="90"/>
                <w:sz w:val="72"/>
                <w:szCs w:val="72"/>
                <w:lang w:val="en-US" w:eastAsia="zh-CN"/>
              </w:rPr>
              <w:t>福州市工业和信息化局</w:t>
            </w:r>
          </w:p>
        </w:tc>
        <w:tc>
          <w:tcPr>
            <w:tcW w:w="1361" w:type="dxa"/>
            <w:vMerge w:val="restart"/>
            <w:tcBorders>
              <w:tl2br w:val="nil"/>
              <w:tr2bl w:val="nil"/>
            </w:tcBorders>
            <w:noWrap w:val="0"/>
            <w:vAlign w:val="center"/>
          </w:tcPr>
          <w:p>
            <w:pPr>
              <w:adjustRightInd w:val="0"/>
              <w:snapToGrid w:val="0"/>
              <w:spacing w:line="240" w:lineRule="auto"/>
              <w:jc w:val="both"/>
              <w:rPr>
                <w:rFonts w:hint="eastAsia" w:ascii="宋体" w:hAnsi="宋体" w:eastAsia="宋体" w:cs="宋体"/>
                <w:b w:val="0"/>
                <w:bCs w:val="0"/>
                <w:vanish/>
                <w:color w:val="FF0000"/>
                <w:spacing w:val="-20"/>
                <w:w w:val="80"/>
                <w:sz w:val="72"/>
                <w:szCs w:val="72"/>
                <w:lang w:val="en-US" w:eastAsia="zh-CN"/>
              </w:rPr>
            </w:pPr>
            <w:r>
              <w:rPr>
                <w:rFonts w:hint="eastAsia" w:ascii="宋体" w:hAnsi="宋体" w:eastAsia="宋体" w:cs="宋体"/>
                <w:b/>
                <w:bCs/>
                <w:vanish/>
                <w:color w:val="FF0000"/>
                <w:spacing w:val="-20"/>
                <w:w w:val="80"/>
                <w:sz w:val="72"/>
                <w:szCs w:val="72"/>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90" w:hRule="atLeast"/>
          <w:hidden/>
        </w:trPr>
        <w:tc>
          <w:tcPr>
            <w:tcW w:w="7540" w:type="dxa"/>
            <w:tcBorders>
              <w:tl2br w:val="nil"/>
              <w:tr2bl w:val="nil"/>
            </w:tcBorders>
            <w:noWrap w:val="0"/>
            <w:vAlign w:val="center"/>
          </w:tcPr>
          <w:p>
            <w:pPr>
              <w:spacing w:line="240" w:lineRule="auto"/>
              <w:jc w:val="left"/>
              <w:rPr>
                <w:rFonts w:hint="eastAsia" w:ascii="仿宋_GB2312" w:hAnsi="方正仿宋_GBK"/>
                <w:sz w:val="28"/>
                <w:lang w:val="en-US" w:eastAsia="zh-CN"/>
              </w:rPr>
            </w:pPr>
            <w:r>
              <w:rPr>
                <w:rFonts w:hint="eastAsia" w:ascii="宋体" w:hAnsi="宋体" w:eastAsia="宋体" w:cs="宋体"/>
                <w:b/>
                <w:bCs/>
                <w:vanish/>
                <w:color w:val="FF0000"/>
                <w:spacing w:val="246"/>
                <w:w w:val="100"/>
                <w:sz w:val="72"/>
                <w:szCs w:val="72"/>
                <w:lang w:val="en-US" w:eastAsia="zh-CN"/>
              </w:rPr>
              <w:t>福州市财政局</w:t>
            </w:r>
          </w:p>
        </w:tc>
        <w:tc>
          <w:tcPr>
            <w:tcW w:w="1361" w:type="dxa"/>
            <w:vMerge w:val="continue"/>
            <w:tcBorders>
              <w:tl2br w:val="nil"/>
              <w:tr2bl w:val="nil"/>
            </w:tcBorders>
            <w:noWrap w:val="0"/>
            <w:vAlign w:val="center"/>
          </w:tcPr>
          <w:p>
            <w:pPr>
              <w:spacing w:line="240" w:lineRule="auto"/>
              <w:jc w:val="left"/>
              <w:rPr>
                <w:rFonts w:hint="eastAsia" w:ascii="宋体" w:hAnsi="宋体" w:eastAsia="宋体" w:cs="宋体"/>
                <w:b w:val="0"/>
                <w:bCs w:val="0"/>
                <w:vanish/>
                <w:color w:val="FF0000"/>
                <w:spacing w:val="-20"/>
                <w:w w:val="80"/>
                <w:sz w:val="72"/>
                <w:szCs w:val="7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5" w:hRule="atLeast"/>
        </w:trPr>
        <w:tc>
          <w:tcPr>
            <w:tcW w:w="8901" w:type="dxa"/>
            <w:gridSpan w:val="2"/>
            <w:tcBorders>
              <w:tl2br w:val="nil"/>
              <w:tr2bl w:val="nil"/>
            </w:tcBorders>
            <w:noWrap w:val="0"/>
            <w:vAlign w:val="center"/>
          </w:tcPr>
          <w:p>
            <w:pPr>
              <w:spacing w:line="240" w:lineRule="auto"/>
              <w:jc w:val="left"/>
              <w:rPr>
                <w:rFonts w:hint="eastAsia" w:ascii="仿宋_GB2312" w:hAnsi="方正仿宋_GBK"/>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15" w:hRule="atLeast"/>
        </w:trPr>
        <w:tc>
          <w:tcPr>
            <w:tcW w:w="8901" w:type="dxa"/>
            <w:gridSpan w:val="2"/>
            <w:tcBorders>
              <w:tl2br w:val="nil"/>
              <w:tr2bl w:val="nil"/>
            </w:tcBorders>
            <w:noWrap w:val="0"/>
            <w:vAlign w:val="center"/>
          </w:tcPr>
          <w:p>
            <w:pPr>
              <w:spacing w:line="240" w:lineRule="auto"/>
              <w:jc w:val="center"/>
              <w:rPr>
                <w:rFonts w:hint="eastAsia" w:ascii="仿宋_GB2312" w:hAnsi="方正仿宋_GBK" w:eastAsia="仿宋_GB2312"/>
                <w:lang w:val="en-US" w:eastAsia="zh-CN"/>
              </w:rPr>
            </w:pPr>
            <w:r>
              <w:rPr>
                <w:rFonts w:hint="eastAsia" w:ascii="仿宋_GB2312" w:hAnsi="方正仿宋_GBK"/>
                <w:lang w:val="en-US" w:eastAsia="zh-CN"/>
              </w:rPr>
              <w:t>榕工信软件〔2020〕8号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53" w:hRule="exact"/>
        </w:trPr>
        <w:tc>
          <w:tcPr>
            <w:tcW w:w="8901" w:type="dxa"/>
            <w:gridSpan w:val="2"/>
            <w:tcBorders>
              <w:tl2br w:val="nil"/>
              <w:tr2bl w:val="nil"/>
            </w:tcBorders>
            <w:noWrap w:val="0"/>
            <w:vAlign w:val="center"/>
          </w:tcPr>
          <w:p>
            <w:pPr>
              <w:spacing w:line="240" w:lineRule="auto"/>
              <w:jc w:val="center"/>
              <w:rPr>
                <w:rFonts w:hint="eastAsia" w:ascii="方正仿宋_GBK" w:hAnsi="方正仿宋_GBK"/>
                <w:b/>
                <w:sz w:val="21"/>
              </w:rPr>
            </w:pPr>
            <w:r>
              <w:rPr>
                <w:sz w:val="21"/>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57785</wp:posOffset>
                      </wp:positionV>
                      <wp:extent cx="5654040" cy="635"/>
                      <wp:effectExtent l="0" t="17145" r="3810" b="20320"/>
                      <wp:wrapNone/>
                      <wp:docPr id="1" name="DocMarkLine"/>
                      <wp:cNvGraphicFramePr/>
                      <a:graphic xmlns:a="http://schemas.openxmlformats.org/drawingml/2006/main">
                        <a:graphicData uri="http://schemas.microsoft.com/office/word/2010/wordprocessingShape">
                          <wps:wsp>
                            <wps:cNvSpPr/>
                            <wps:spPr>
                              <a:xfrm>
                                <a:off x="0" y="0"/>
                                <a:ext cx="5654040"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0.8pt;margin-top:4.55pt;height:0.05pt;width:445.2pt;z-index:251658240;mso-width-relative:page;mso-height-relative:page;" filled="f" stroked="t" coordsize="21600,21600" o:gfxdata="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PbjvtUAAAAFAQAADwAAAAAAAAABACAAAAAiAAAAZHJzL2Rvd25y&#10;ZXYueG1sUEsBAhQAFAAAAAgAh07iQDky4KXIAQAAkwMAAA4AAAAAAAAAAQAgAAAAJAEAAGRycy9l&#10;Mm9Eb2MueG1sUEsFBgAAAAAGAAYAWQEAAF4FAAAAAA==&#10;">
                      <v:fill on="f" focussize="0,0"/>
                      <v:stroke weight="2.75pt" color="#FF0000" joinstyle="round"/>
                      <v:imagedata o:title=""/>
                      <o:lock v:ext="edit" aspectratio="f"/>
                    </v:lin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95" w:hRule="atLeast"/>
        </w:trPr>
        <w:tc>
          <w:tcPr>
            <w:tcW w:w="89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小标宋_GBK" w:hAnsi="宋体" w:eastAsia="方正小标宋_GBK"/>
                <w:sz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44" w:hRule="atLeast"/>
        </w:trPr>
        <w:tc>
          <w:tcPr>
            <w:tcW w:w="890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sz w:val="44"/>
                <w:szCs w:val="20"/>
                <w:lang w:val="en-US" w:eastAsia="zh-CN"/>
              </w:rPr>
            </w:pPr>
            <w:r>
              <w:rPr>
                <w:rFonts w:hint="eastAsia" w:ascii="方正小标宋简体" w:hAnsi="方正小标宋简体" w:eastAsia="方正小标宋简体" w:cs="方正小标宋简体"/>
                <w:b w:val="0"/>
                <w:bCs w:val="0"/>
                <w:spacing w:val="0"/>
                <w:sz w:val="44"/>
                <w:szCs w:val="20"/>
                <w:lang w:val="en-US" w:eastAsia="zh-CN"/>
              </w:rPr>
              <w:t>福州市工业和信息化局   福州市财政局</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sz w:val="44"/>
                <w:szCs w:val="20"/>
                <w:lang w:val="en-US" w:eastAsia="zh-CN"/>
              </w:rPr>
            </w:pPr>
            <w:r>
              <w:rPr>
                <w:rFonts w:hint="eastAsia" w:ascii="方正小标宋简体" w:hAnsi="方正小标宋简体" w:eastAsia="方正小标宋简体" w:cs="方正小标宋简体"/>
                <w:b w:val="0"/>
                <w:bCs w:val="0"/>
                <w:spacing w:val="0"/>
                <w:sz w:val="44"/>
                <w:szCs w:val="20"/>
                <w:lang w:val="en-US" w:eastAsia="zh-CN"/>
              </w:rPr>
              <w:t>关于做好2020年市级软件产业发展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0"/>
                <w:sz w:val="44"/>
                <w:szCs w:val="20"/>
                <w:lang w:val="en-US" w:eastAsia="zh-CN"/>
              </w:rPr>
            </w:pPr>
            <w:r>
              <w:rPr>
                <w:rFonts w:hint="eastAsia" w:ascii="方正小标宋简体" w:hAnsi="方正小标宋简体" w:eastAsia="方正小标宋简体" w:cs="方正小标宋简体"/>
                <w:b w:val="0"/>
                <w:bCs w:val="0"/>
                <w:spacing w:val="0"/>
                <w:sz w:val="44"/>
                <w:szCs w:val="20"/>
                <w:lang w:val="en-US" w:eastAsia="zh-CN"/>
              </w:rPr>
              <w:t>专项资金申报工作的通知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spacing w:val="-6"/>
          <w:kern w:val="2"/>
          <w:sz w:val="32"/>
          <w:lang w:val="en-US" w:eastAsia="zh-CN"/>
        </w:rPr>
      </w:pPr>
      <w:r>
        <w:rPr>
          <w:rFonts w:hint="eastAsia" w:ascii="仿宋_GB2312" w:hAnsi="仿宋_GB2312"/>
          <w:spacing w:val="-6"/>
          <w:kern w:val="2"/>
          <w:sz w:val="32"/>
          <w:lang w:val="en-US" w:eastAsia="zh-CN"/>
        </w:rPr>
        <w:t>各县（市）区工信局、财政局，高新区经发局、财政局：</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市政府</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促进软件和信息技术服务</w:t>
      </w:r>
      <w:r>
        <w:rPr>
          <w:rFonts w:hint="eastAsia" w:hAnsi="仿宋_GB2312" w:cs="仿宋_GB2312"/>
          <w:sz w:val="32"/>
          <w:szCs w:val="32"/>
          <w:lang w:val="en-US" w:eastAsia="zh-CN"/>
        </w:rPr>
        <w:t>业</w:t>
      </w:r>
      <w:r>
        <w:rPr>
          <w:rFonts w:hint="eastAsia" w:ascii="仿宋_GB2312" w:hAnsi="仿宋_GB2312" w:eastAsia="仿宋_GB2312" w:cs="仿宋_GB2312"/>
          <w:sz w:val="32"/>
          <w:szCs w:val="32"/>
          <w:lang w:val="en-US" w:eastAsia="zh-CN"/>
        </w:rPr>
        <w:t>发展五条措施</w:t>
      </w:r>
      <w:r>
        <w:rPr>
          <w:rFonts w:hint="eastAsia" w:ascii="仿宋_GB2312" w:hAnsi="仿宋_GB2312" w:eastAsia="仿宋_GB2312" w:cs="仿宋_GB2312"/>
          <w:sz w:val="32"/>
          <w:szCs w:val="32"/>
        </w:rPr>
        <w:t>》（榕政综〔201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《关于加快数字经济发展七条措施》</w:t>
      </w:r>
      <w:r>
        <w:rPr>
          <w:rFonts w:hint="eastAsia" w:ascii="仿宋_GB2312" w:hAnsi="仿宋_GB2312" w:eastAsia="仿宋_GB2312" w:cs="仿宋_GB2312"/>
          <w:sz w:val="32"/>
          <w:szCs w:val="32"/>
        </w:rPr>
        <w:t>（榕政综〔201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《关于加快物联网产业发展的三条措施》</w:t>
      </w:r>
      <w:r>
        <w:rPr>
          <w:rFonts w:hint="eastAsia" w:ascii="仿宋_GB2312" w:hAnsi="仿宋_GB2312" w:eastAsia="仿宋_GB2312" w:cs="仿宋_GB2312"/>
          <w:sz w:val="32"/>
          <w:szCs w:val="32"/>
          <w:lang w:val="en-US" w:eastAsia="zh-CN"/>
        </w:rPr>
        <w:t>等文件精神</w:t>
      </w:r>
      <w:r>
        <w:rPr>
          <w:rFonts w:hint="eastAsia" w:ascii="仿宋_GB2312" w:hAnsi="仿宋_GB2312" w:eastAsia="仿宋_GB2312" w:cs="仿宋_GB2312"/>
          <w:sz w:val="32"/>
          <w:szCs w:val="32"/>
        </w:rPr>
        <w:t>，现就做好</w:t>
      </w:r>
      <w:r>
        <w:rPr>
          <w:rFonts w:hint="eastAsia" w:hAnsi="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hAnsi="仿宋_GB2312" w:cs="仿宋_GB2312"/>
          <w:sz w:val="32"/>
          <w:szCs w:val="32"/>
          <w:lang w:val="en-US" w:eastAsia="zh-CN"/>
        </w:rPr>
        <w:t>市级</w:t>
      </w:r>
      <w:r>
        <w:rPr>
          <w:rFonts w:hint="eastAsia" w:ascii="仿宋_GB2312" w:hAnsi="仿宋_GB2312" w:eastAsia="仿宋_GB2312" w:cs="仿宋_GB2312"/>
          <w:sz w:val="32"/>
          <w:szCs w:val="32"/>
        </w:rPr>
        <w:t>软件产业发展专项资金申报工作通知如下：</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rPr>
        <w:t>一、申报单位条件</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1.在福州市内注册，具有独立法人资格的企事业单位；</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hAnsi="仿宋_GB2312" w:cs="仿宋_GB2312"/>
          <w:sz w:val="32"/>
          <w:szCs w:val="32"/>
          <w:lang w:eastAsia="zh-CN"/>
        </w:rPr>
        <w:t>.</w:t>
      </w:r>
      <w:r>
        <w:rPr>
          <w:rFonts w:hint="eastAsia" w:ascii="仿宋_GB2312" w:hAnsi="仿宋_GB2312" w:eastAsia="仿宋_GB2312" w:cs="仿宋_GB2312"/>
          <w:sz w:val="32"/>
          <w:szCs w:val="32"/>
        </w:rPr>
        <w:t>能按要求报送统计数据；</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rPr>
        <w:t>.在信用系统中无不良记录；</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4</w:t>
      </w:r>
      <w:r>
        <w:rPr>
          <w:rFonts w:hint="eastAsia" w:ascii="仿宋_GB2312" w:hAnsi="仿宋_GB2312" w:eastAsia="仿宋_GB2312" w:cs="仿宋_GB2312"/>
          <w:sz w:val="32"/>
          <w:szCs w:val="32"/>
        </w:rPr>
        <w:t>.项目申报指南规定的其他条件。</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rPr>
        <w:t>二、申报项目</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1.上规模奖励；</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2.快增速奖励；</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3.建平台补助；</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4.创荣誉奖励；</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5.资质认证奖励；</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default" w:ascii="仿宋_GB2312" w:hAnsi="仿宋_GB2312" w:eastAsia="仿宋_GB2312" w:cs="仿宋_GB2312"/>
          <w:sz w:val="32"/>
          <w:szCs w:val="32"/>
          <w:lang w:val="en-US" w:eastAsia="zh-CN"/>
        </w:rPr>
      </w:pPr>
      <w:r>
        <w:rPr>
          <w:rFonts w:hint="eastAsia" w:hAnsi="仿宋_GB2312" w:cs="仿宋_GB2312"/>
          <w:sz w:val="32"/>
          <w:szCs w:val="32"/>
          <w:lang w:val="en-US" w:eastAsia="zh-CN"/>
        </w:rPr>
        <w:t>6</w:t>
      </w:r>
      <w:r>
        <w:rPr>
          <w:rFonts w:hint="eastAsia" w:ascii="仿宋_GB2312" w:hAnsi="仿宋_GB2312" w:eastAsia="仿宋_GB2312" w:cs="仿宋_GB2312"/>
          <w:sz w:val="32"/>
          <w:szCs w:val="32"/>
        </w:rPr>
        <w:t>.</w:t>
      </w:r>
      <w:r>
        <w:rPr>
          <w:rFonts w:hint="eastAsia" w:hAnsi="仿宋_GB2312" w:cs="仿宋_GB2312"/>
          <w:sz w:val="32"/>
          <w:szCs w:val="32"/>
          <w:lang w:val="en-US" w:eastAsia="zh-CN"/>
        </w:rPr>
        <w:t>优秀产品奖励；</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rPr>
      </w:pPr>
      <w:r>
        <w:rPr>
          <w:rFonts w:hint="eastAsia" w:hAnsi="仿宋_GB2312" w:cs="仿宋_GB2312"/>
          <w:sz w:val="32"/>
          <w:szCs w:val="32"/>
          <w:lang w:val="en-US" w:eastAsia="zh-CN"/>
        </w:rPr>
        <w:t>7.支持上云补助；</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rPr>
      </w:pPr>
      <w:r>
        <w:rPr>
          <w:rFonts w:hint="eastAsia" w:hAnsi="仿宋_GB2312" w:cs="仿宋_GB2312"/>
          <w:sz w:val="32"/>
          <w:szCs w:val="32"/>
          <w:lang w:val="en-US" w:eastAsia="zh-CN"/>
        </w:rPr>
        <w:t>8</w:t>
      </w:r>
      <w:r>
        <w:rPr>
          <w:rFonts w:hint="eastAsia" w:ascii="仿宋_GB2312" w:hAnsi="仿宋_GB2312" w:eastAsia="仿宋_GB2312" w:cs="仿宋_GB2312"/>
          <w:sz w:val="32"/>
          <w:szCs w:val="32"/>
        </w:rPr>
        <w:t>.首购奖励；</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9</w:t>
      </w:r>
      <w:r>
        <w:rPr>
          <w:rFonts w:hint="eastAsia" w:ascii="仿宋_GB2312" w:hAnsi="仿宋_GB2312" w:eastAsia="仿宋_GB2312" w:cs="仿宋_GB2312"/>
          <w:sz w:val="32"/>
          <w:szCs w:val="32"/>
        </w:rPr>
        <w:t>.省内市外中标</w:t>
      </w:r>
      <w:r>
        <w:rPr>
          <w:rFonts w:hint="eastAsia" w:hAnsi="仿宋_GB2312" w:cs="仿宋_GB2312"/>
          <w:sz w:val="32"/>
          <w:szCs w:val="32"/>
          <w:lang w:val="en-US" w:eastAsia="zh-CN"/>
        </w:rPr>
        <w:t>奖励</w:t>
      </w:r>
      <w:r>
        <w:rPr>
          <w:rFonts w:hint="eastAsia" w:hAnsi="仿宋_GB2312" w:cs="仿宋_GB2312"/>
          <w:sz w:val="32"/>
          <w:szCs w:val="32"/>
          <w:lang w:eastAsia="zh-CN"/>
        </w:rPr>
        <w:t>；</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1"/>
        <w:rPr>
          <w:rFonts w:hint="eastAsia" w:ascii="仿宋_GB2312" w:hAnsi="仿宋_GB2312" w:eastAsia="仿宋_GB2312" w:cs="仿宋_GB2312"/>
          <w:sz w:val="32"/>
          <w:szCs w:val="32"/>
          <w:lang w:eastAsia="zh-CN"/>
        </w:rPr>
      </w:pPr>
      <w:r>
        <w:rPr>
          <w:rFonts w:hint="eastAsia" w:hAnsi="仿宋_GB2312" w:cs="仿宋_GB2312"/>
          <w:sz w:val="32"/>
          <w:szCs w:val="32"/>
          <w:lang w:val="en-US" w:eastAsia="zh-CN"/>
        </w:rPr>
        <w:t>10</w:t>
      </w:r>
      <w:r>
        <w:rPr>
          <w:rFonts w:hint="eastAsia" w:ascii="仿宋_GB2312" w:hAnsi="仿宋_GB2312" w:eastAsia="仿宋_GB2312" w:cs="仿宋_GB2312"/>
          <w:sz w:val="32"/>
          <w:szCs w:val="32"/>
        </w:rPr>
        <w:t>.平台投资补助</w:t>
      </w:r>
      <w:r>
        <w:rPr>
          <w:rFonts w:hint="eastAsia" w:hAnsi="仿宋_GB2312" w:cs="仿宋_GB2312"/>
          <w:sz w:val="32"/>
          <w:szCs w:val="32"/>
          <w:lang w:eastAsia="zh-CN"/>
        </w:rPr>
        <w:t>。</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rPr>
        <w:t>三、申报基本材料</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1.项目申请表；</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2.公司营业执照、税务登记证（或“三证合一”营业执照）复印件以及所从事的主营业务资质证明材料复印件（已取得资质的</w:t>
      </w:r>
      <w:r>
        <w:rPr>
          <w:rFonts w:hint="eastAsia" w:hAnsi="仿宋_GB2312" w:cs="仿宋_GB2312"/>
          <w:sz w:val="32"/>
          <w:szCs w:val="32"/>
          <w:lang w:eastAsia="zh-CN"/>
        </w:rPr>
        <w:t>需</w:t>
      </w:r>
      <w:r>
        <w:rPr>
          <w:rFonts w:hint="eastAsia" w:ascii="仿宋_GB2312" w:hAnsi="仿宋_GB2312" w:eastAsia="仿宋_GB2312" w:cs="仿宋_GB2312"/>
          <w:sz w:val="32"/>
          <w:szCs w:val="32"/>
        </w:rPr>
        <w:t>提供）；</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4.项目申报指南规定的其他材料</w:t>
      </w:r>
      <w:r>
        <w:rPr>
          <w:rFonts w:hint="eastAsia" w:hAnsi="仿宋_GB2312" w:eastAsia="仿宋_GB2312" w:cs="仿宋_GB2312"/>
          <w:sz w:val="32"/>
          <w:szCs w:val="32"/>
          <w:lang w:eastAsia="zh-CN"/>
        </w:rPr>
        <w:t>（</w:t>
      </w:r>
      <w:r>
        <w:rPr>
          <w:rFonts w:hint="eastAsia" w:hAnsi="仿宋_GB2312" w:eastAsia="仿宋_GB2312" w:cs="仿宋_GB2312"/>
          <w:sz w:val="32"/>
          <w:szCs w:val="32"/>
          <w:lang w:val="en-US" w:eastAsia="zh-CN"/>
        </w:rPr>
        <w:t>附件</w:t>
      </w:r>
      <w:r>
        <w:rPr>
          <w:rFonts w:hint="eastAsia" w:hAnsi="仿宋_GB2312" w:cs="仿宋_GB2312"/>
          <w:sz w:val="32"/>
          <w:szCs w:val="32"/>
          <w:lang w:val="en-US" w:eastAsia="zh-CN"/>
        </w:rPr>
        <w:t>1</w:t>
      </w:r>
      <w:r>
        <w:rPr>
          <w:rFonts w:hint="eastAsia"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rPr>
        <w:t>四、申报要求</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1.申报单位根据文件要求认真如实组织项目材料，并按属地原则提交纸质申报材料，纸质材料需</w:t>
      </w:r>
      <w:r>
        <w:rPr>
          <w:rFonts w:hint="eastAsia" w:hAnsi="仿宋_GB2312" w:cs="仿宋_GB2312"/>
          <w:sz w:val="32"/>
          <w:szCs w:val="32"/>
          <w:lang w:val="en-US" w:eastAsia="zh-CN"/>
        </w:rPr>
        <w:t>根据模板要求，</w:t>
      </w:r>
      <w:r>
        <w:rPr>
          <w:rFonts w:hint="eastAsia" w:ascii="仿宋_GB2312" w:hAnsi="仿宋_GB2312" w:eastAsia="仿宋_GB2312" w:cs="仿宋_GB2312"/>
          <w:sz w:val="32"/>
          <w:szCs w:val="32"/>
        </w:rPr>
        <w:t>提供目录、标明页码、加彩色隔页</w:t>
      </w:r>
      <w:r>
        <w:rPr>
          <w:rFonts w:hint="eastAsia" w:hAnsi="仿宋_GB2312" w:cs="仿宋_GB2312"/>
          <w:sz w:val="32"/>
          <w:szCs w:val="32"/>
          <w:lang w:eastAsia="zh-CN"/>
        </w:rPr>
        <w:t>、加盖</w:t>
      </w:r>
      <w:r>
        <w:rPr>
          <w:rFonts w:hint="eastAsia" w:hAnsi="仿宋_GB2312" w:cs="仿宋_GB2312"/>
          <w:b w:val="0"/>
          <w:bCs w:val="0"/>
          <w:sz w:val="32"/>
          <w:szCs w:val="32"/>
          <w:lang w:eastAsia="zh-CN"/>
        </w:rPr>
        <w:t>骑缝章</w:t>
      </w:r>
      <w:r>
        <w:rPr>
          <w:rFonts w:hint="eastAsia" w:hAnsi="仿宋_GB2312" w:cs="仿宋_GB2312"/>
          <w:sz w:val="32"/>
          <w:szCs w:val="32"/>
          <w:lang w:eastAsia="zh-CN"/>
        </w:rPr>
        <w:t>，</w:t>
      </w:r>
      <w:r>
        <w:rPr>
          <w:rFonts w:hint="eastAsia" w:hAnsi="仿宋_GB2312" w:eastAsia="仿宋_GB2312" w:cs="仿宋_GB2312"/>
          <w:sz w:val="32"/>
          <w:szCs w:val="32"/>
          <w:lang w:val="en-US" w:eastAsia="zh-CN"/>
        </w:rPr>
        <w:t>胶装成册后</w:t>
      </w:r>
      <w:r>
        <w:rPr>
          <w:rFonts w:hint="eastAsia" w:ascii="仿宋_GB2312" w:hAnsi="仿宋_GB2312" w:eastAsia="仿宋_GB2312" w:cs="仿宋_GB2312"/>
          <w:sz w:val="32"/>
          <w:szCs w:val="32"/>
        </w:rPr>
        <w:t>一式2份</w:t>
      </w:r>
      <w:r>
        <w:rPr>
          <w:rFonts w:hint="eastAsia" w:hAnsi="仿宋_GB2312" w:cs="仿宋_GB2312"/>
          <w:sz w:val="32"/>
          <w:szCs w:val="32"/>
          <w:lang w:eastAsia="zh-CN"/>
        </w:rPr>
        <w:t>提交</w:t>
      </w:r>
      <w:r>
        <w:rPr>
          <w:rFonts w:hint="eastAsia" w:ascii="仿宋_GB2312" w:hAnsi="仿宋_GB2312" w:eastAsia="仿宋_GB2312" w:cs="仿宋_GB2312"/>
          <w:sz w:val="32"/>
          <w:szCs w:val="32"/>
        </w:rPr>
        <w:t>（申报材料为复印件的应加盖项目申报单位公章，确保与原件一致）</w:t>
      </w:r>
      <w:r>
        <w:rPr>
          <w:rFonts w:hint="eastAsia" w:hAnsi="仿宋_GB2312" w:cs="仿宋_GB2312"/>
          <w:sz w:val="32"/>
          <w:szCs w:val="32"/>
          <w:lang w:eastAsia="zh-CN"/>
        </w:rPr>
        <w:t>，</w:t>
      </w:r>
      <w:r>
        <w:rPr>
          <w:rFonts w:hint="eastAsia" w:hAnsi="仿宋_GB2312" w:cs="仿宋_GB2312"/>
          <w:sz w:val="32"/>
          <w:szCs w:val="32"/>
          <w:lang w:val="en-US" w:eastAsia="zh-CN"/>
        </w:rPr>
        <w:t>并将项目申报表word版本发送至fzrj001@163.com</w:t>
      </w:r>
      <w:r>
        <w:rPr>
          <w:rFonts w:hint="eastAsia" w:ascii="仿宋_GB2312" w:hAnsi="仿宋_GB2312" w:eastAsia="仿宋_GB2312" w:cs="仿宋_GB2312"/>
          <w:sz w:val="32"/>
          <w:szCs w:val="32"/>
        </w:rPr>
        <w:t xml:space="preserve">。。 </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2.申报项目需通过省工信厅惠企政策项目管理系统（http://220.160.52.168/Hqxm/De</w:t>
      </w:r>
      <w:r>
        <w:rPr>
          <w:rFonts w:hint="eastAsia" w:ascii="仿宋_GB2312" w:hAnsi="仿宋_GB2312" w:eastAsia="仿宋_GB2312" w:cs="仿宋_GB2312"/>
          <w:sz w:val="32"/>
          <w:szCs w:val="32"/>
          <w:lang w:val="en-US" w:eastAsia="zh-CN"/>
        </w:rPr>
        <w:t>fault.aspx）报送县（市）区工信（经发）局。</w:t>
      </w:r>
      <w:r>
        <w:rPr>
          <w:rFonts w:hint="eastAsia" w:hAnsi="仿宋_GB2312" w:cs="仿宋_GB2312"/>
          <w:sz w:val="32"/>
          <w:szCs w:val="32"/>
          <w:lang w:val="en-US" w:eastAsia="zh-CN"/>
        </w:rPr>
        <w:t>（只需填写单位及申报项目名称，申报优秀产品类项目的须标明产品/方案名称，</w:t>
      </w:r>
      <w:r>
        <w:rPr>
          <w:rFonts w:hint="eastAsia" w:hAnsi="仿宋_GB2312" w:cs="仿宋_GB2312"/>
          <w:b/>
          <w:bCs/>
          <w:sz w:val="32"/>
          <w:szCs w:val="32"/>
          <w:lang w:val="en-US" w:eastAsia="zh-CN"/>
        </w:rPr>
        <w:t>不能直接报送福州市工信局，否则系统将退回</w:t>
      </w:r>
      <w:r>
        <w:rPr>
          <w:rFonts w:hint="eastAsia" w:hAnsi="仿宋_GB2312" w:cs="仿宋_GB2312"/>
          <w:sz w:val="32"/>
          <w:szCs w:val="32"/>
          <w:lang w:val="en-US" w:eastAsia="zh-CN"/>
        </w:rPr>
        <w:t>）。</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rPr>
        <w:t>.申报单位应对申报材料的真实性、合法性、有效性负责。如发现弄虚作假或其他违反法律法规的行为，将予以通报，且三年内取消软件产业相关专项资金申报资格，并按相关的法律法规的规定追究相应的责任。</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4.同一企业的同一项目不得重复申报、多头申报，企业已获得市级同类扶持的，不再享受本专项的扶持。</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5</w:t>
      </w:r>
      <w:r>
        <w:rPr>
          <w:rFonts w:hint="eastAsia" w:ascii="仿宋_GB2312" w:hAnsi="仿宋_GB2312" w:eastAsia="仿宋_GB2312" w:cs="仿宋_GB2312"/>
          <w:sz w:val="32"/>
          <w:szCs w:val="32"/>
        </w:rPr>
        <w:t>.县（市）区工信（经</w:t>
      </w:r>
      <w:r>
        <w:rPr>
          <w:rFonts w:hint="eastAsia" w:hAnsi="仿宋_GB2312" w:cs="仿宋_GB2312"/>
          <w:sz w:val="32"/>
          <w:szCs w:val="32"/>
          <w:lang w:eastAsia="zh-CN"/>
        </w:rPr>
        <w:t>发</w:t>
      </w:r>
      <w:r>
        <w:rPr>
          <w:rFonts w:hint="eastAsia" w:ascii="仿宋_GB2312" w:hAnsi="仿宋_GB2312" w:eastAsia="仿宋_GB2312" w:cs="仿宋_GB2312"/>
          <w:sz w:val="32"/>
          <w:szCs w:val="32"/>
        </w:rPr>
        <w:t>）局、财政局对企业提交的所有申报材料进行认真审查，对提供复印件的应核对原件并</w:t>
      </w:r>
      <w:r>
        <w:rPr>
          <w:rFonts w:hint="eastAsia" w:ascii="仿宋_GB2312" w:hAnsi="仿宋_GB2312" w:eastAsia="仿宋_GB2312" w:cs="仿宋_GB2312"/>
          <w:b/>
          <w:bCs/>
          <w:sz w:val="32"/>
          <w:szCs w:val="32"/>
        </w:rPr>
        <w:t>加盖核对章</w:t>
      </w:r>
      <w:r>
        <w:rPr>
          <w:rFonts w:hint="eastAsia" w:ascii="仿宋_GB2312" w:hAnsi="仿宋_GB2312" w:eastAsia="仿宋_GB2312" w:cs="仿宋_GB2312"/>
          <w:sz w:val="32"/>
          <w:szCs w:val="32"/>
        </w:rPr>
        <w:t>。于</w:t>
      </w:r>
      <w:r>
        <w:rPr>
          <w:rFonts w:hint="eastAsia" w:hAnsi="仿宋_GB2312" w:cs="仿宋_GB2312"/>
          <w:sz w:val="32"/>
          <w:szCs w:val="32"/>
          <w:lang w:val="en-US" w:eastAsia="zh-CN"/>
        </w:rPr>
        <w:t>2020年4月22日</w:t>
      </w:r>
      <w:r>
        <w:rPr>
          <w:rFonts w:hint="eastAsia" w:ascii="仿宋_GB2312" w:hAnsi="仿宋_GB2312" w:eastAsia="仿宋_GB2312" w:cs="仿宋_GB2312"/>
          <w:sz w:val="32"/>
          <w:szCs w:val="32"/>
        </w:rPr>
        <w:t>前完成惠企系统县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区初审、联合财政会签等工作，并正式行文和填写</w:t>
      </w:r>
      <w:r>
        <w:rPr>
          <w:rFonts w:hint="eastAsia" w:ascii="仿宋_GB2312" w:hAnsi="仿宋_GB2312" w:eastAsia="仿宋_GB2312" w:cs="仿宋_GB2312"/>
          <w:b/>
          <w:bCs/>
          <w:sz w:val="32"/>
          <w:szCs w:val="32"/>
        </w:rPr>
        <w:t>《申报项目汇总表》</w:t>
      </w:r>
      <w:r>
        <w:rPr>
          <w:rFonts w:hint="eastAsia" w:ascii="仿宋_GB2312" w:hAnsi="仿宋_GB2312" w:eastAsia="仿宋_GB2312" w:cs="仿宋_GB2312"/>
          <w:sz w:val="32"/>
          <w:szCs w:val="32"/>
        </w:rPr>
        <w:t>（附件</w:t>
      </w:r>
      <w:r>
        <w:rPr>
          <w:rFonts w:hint="eastAsia" w:hAnsi="仿宋_GB2312" w:eastAsia="仿宋_GB2312" w:cs="仿宋_GB2312"/>
          <w:sz w:val="32"/>
          <w:szCs w:val="32"/>
          <w:lang w:val="en-US" w:eastAsia="zh-CN"/>
        </w:rPr>
        <w:t>2</w:t>
      </w:r>
      <w:r>
        <w:rPr>
          <w:rFonts w:hint="eastAsia" w:ascii="仿宋_GB2312" w:hAnsi="仿宋_GB2312" w:eastAsia="仿宋_GB2312" w:cs="仿宋_GB2312"/>
          <w:sz w:val="32"/>
          <w:szCs w:val="32"/>
        </w:rPr>
        <w:t>），将申报项目纸质版材料、联合行文的纸质文件上报市工信局。</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0"/>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、其他事项</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hAnsi="仿宋_GB2312" w:cs="仿宋_GB2312"/>
          <w:b w:val="0"/>
          <w:bCs w:val="0"/>
          <w:sz w:val="32"/>
          <w:szCs w:val="32"/>
          <w:lang w:val="en-US" w:eastAsia="zh-CN"/>
        </w:rPr>
        <w:t>1.</w:t>
      </w:r>
      <w:r>
        <w:rPr>
          <w:rFonts w:hint="eastAsia" w:ascii="仿宋_GB2312" w:hAnsi="仿宋_GB2312" w:eastAsia="仿宋_GB2312" w:cs="仿宋_GB2312"/>
          <w:sz w:val="32"/>
          <w:szCs w:val="32"/>
        </w:rPr>
        <w:t>本通知及项目申报所需表格、申请报告编制提纲</w:t>
      </w:r>
      <w:r>
        <w:rPr>
          <w:rFonts w:hint="eastAsia" w:hAnsi="仿宋_GB2312" w:cs="仿宋_GB2312"/>
          <w:sz w:val="32"/>
          <w:szCs w:val="32"/>
          <w:lang w:eastAsia="zh-CN"/>
        </w:rPr>
        <w:t>可</w:t>
      </w:r>
      <w:r>
        <w:rPr>
          <w:rFonts w:hint="eastAsia" w:ascii="仿宋_GB2312" w:hAnsi="仿宋_GB2312" w:eastAsia="仿宋_GB2312" w:cs="仿宋_GB2312"/>
          <w:sz w:val="32"/>
          <w:szCs w:val="32"/>
        </w:rPr>
        <w:t>登录</w:t>
      </w:r>
      <w:r>
        <w:rPr>
          <w:rFonts w:hint="eastAsia" w:hAnsi="仿宋_GB2312" w:cs="仿宋_GB2312"/>
          <w:sz w:val="32"/>
          <w:szCs w:val="32"/>
          <w:lang w:val="en-US" w:eastAsia="zh-CN"/>
        </w:rPr>
        <w:t>市工信局门户网站http://www.fuzhou.gov.cn/zgfzzt/sjxw/</w:t>
      </w:r>
      <w:r>
        <w:rPr>
          <w:rFonts w:hint="eastAsia" w:ascii="仿宋_GB2312" w:hAnsi="仿宋_GB2312" w:eastAsia="仿宋_GB2312" w:cs="仿宋_GB2312"/>
          <w:sz w:val="32"/>
          <w:szCs w:val="32"/>
        </w:rPr>
        <w:t>下载</w:t>
      </w:r>
      <w:r>
        <w:rPr>
          <w:rFonts w:hint="eastAsia" w:hAnsi="仿宋_GB2312" w:cs="仿宋_GB2312"/>
          <w:sz w:val="32"/>
          <w:szCs w:val="32"/>
          <w:lang w:eastAsia="zh-CN"/>
        </w:rPr>
        <w:t>；或关注“福州工信”微信公众号，回复“软件项目”获取申报文件。</w:t>
      </w:r>
      <w:r>
        <w:rPr>
          <w:rFonts w:hint="eastAsia" w:ascii="仿宋_GB2312" w:hAnsi="仿宋_GB2312" w:eastAsia="仿宋_GB2312" w:cs="仿宋_GB2312"/>
          <w:sz w:val="32"/>
          <w:szCs w:val="32"/>
        </w:rPr>
        <w:t>惠企政策项目管理系统的操作手册在省工信厅惠企系统网站下载。</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2.项目申报单位均须按要求通过工业和信息化部运行监测系统（http://202.106.120.244）报送软件产业年报统计数据，否则将不予受理。</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rPr>
        <w:t>.受理处室及联系人</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福州市工业和信息化局软件服务业处</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地址：仓山区南江滨西大道东部办公区5座633室</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联系电话：0591—83211432</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0591—83258357。</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9"/>
        <w:keepNext w:val="0"/>
        <w:keepLines w:val="0"/>
        <w:pageBreakBefore w:val="0"/>
        <w:widowControl w:val="0"/>
        <w:kinsoku/>
        <w:autoSpaceDE/>
        <w:autoSpaceDN/>
        <w:bidi w:val="0"/>
        <w:snapToGrid/>
        <w:spacing w:line="600" w:lineRule="exact"/>
        <w:ind w:left="0" w:leftChars="0" w:right="0" w:rightChars="0" w:firstLine="634" w:firstLineChars="200"/>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软件产业项目申报指南</w:t>
      </w:r>
    </w:p>
    <w:p>
      <w:pPr>
        <w:pStyle w:val="9"/>
        <w:keepNext w:val="0"/>
        <w:keepLines w:val="0"/>
        <w:pageBreakBefore w:val="0"/>
        <w:widowControl w:val="0"/>
        <w:numPr>
          <w:ilvl w:val="0"/>
          <w:numId w:val="0"/>
        </w:numPr>
        <w:kinsoku/>
        <w:autoSpaceDE/>
        <w:autoSpaceDN/>
        <w:bidi w:val="0"/>
        <w:snapToGrid/>
        <w:spacing w:line="600" w:lineRule="exact"/>
        <w:ind w:left="1553" w:leftChars="0" w:right="0" w:rightChars="0"/>
        <w:textAlignment w:val="baseline"/>
        <w:outlineLvl w:val="9"/>
        <w:rPr>
          <w:rFonts w:hint="eastAsia" w:ascii="仿宋_GB2312" w:hAnsi="仿宋_GB2312" w:eastAsia="仿宋_GB2312" w:cs="仿宋_GB2312"/>
          <w:sz w:val="32"/>
          <w:szCs w:val="32"/>
          <w:lang w:val="en-US" w:eastAsia="zh-CN"/>
        </w:rPr>
      </w:pPr>
      <w:r>
        <w:rPr>
          <w:rFonts w:hint="eastAsia" w:hAnsi="仿宋_GB2312" w:cs="仿宋_GB2312"/>
          <w:sz w:val="32"/>
          <w:szCs w:val="32"/>
          <w:lang w:val="en-US" w:eastAsia="zh-CN"/>
        </w:rPr>
        <w:t>2.</w:t>
      </w:r>
      <w:r>
        <w:rPr>
          <w:rFonts w:hint="eastAsia" w:ascii="仿宋_GB2312" w:hAnsi="仿宋_GB2312" w:eastAsia="仿宋_GB2312" w:cs="仿宋_GB2312"/>
          <w:sz w:val="32"/>
          <w:szCs w:val="32"/>
          <w:lang w:val="en-US" w:eastAsia="zh-CN"/>
        </w:rPr>
        <w:t>申报项目汇总表</w:t>
      </w:r>
    </w:p>
    <w:p>
      <w:pPr>
        <w:pStyle w:val="9"/>
        <w:keepNext w:val="0"/>
        <w:keepLines w:val="0"/>
        <w:pageBreakBefore w:val="0"/>
        <w:widowControl w:val="0"/>
        <w:numPr>
          <w:ilvl w:val="0"/>
          <w:numId w:val="0"/>
        </w:numPr>
        <w:kinsoku/>
        <w:autoSpaceDE/>
        <w:autoSpaceDN/>
        <w:bidi w:val="0"/>
        <w:snapToGrid/>
        <w:spacing w:line="600" w:lineRule="exact"/>
        <w:ind w:left="634" w:leftChars="200" w:right="0" w:rightChars="0" w:firstLine="0" w:firstLineChars="0"/>
        <w:textAlignment w:val="baseline"/>
        <w:outlineLvl w:val="9"/>
        <w:rPr>
          <w:rFonts w:hint="default" w:hAnsi="仿宋_GB2312" w:cs="仿宋_GB2312"/>
          <w:sz w:val="32"/>
          <w:szCs w:val="32"/>
          <w:lang w:val="en-US" w:eastAsia="zh-CN"/>
        </w:rPr>
      </w:pPr>
    </w:p>
    <w:p>
      <w:pPr>
        <w:keepNext w:val="0"/>
        <w:keepLines w:val="0"/>
        <w:pageBreakBefore w:val="0"/>
        <w:widowControl w:val="0"/>
        <w:kinsoku/>
        <w:topLinePunct/>
        <w:autoSpaceDE/>
        <w:autoSpaceDN/>
        <w:bidi w:val="0"/>
        <w:adjustRightInd w:val="0"/>
        <w:snapToGrid/>
        <w:spacing w:line="600" w:lineRule="exact"/>
        <w:ind w:left="0" w:leftChars="0" w:right="0" w:rightChars="0" w:firstLine="0" w:firstLineChars="0"/>
        <w:outlineLvl w:val="9"/>
        <w:rPr>
          <w:rFonts w:hint="eastAsia" w:ascii="仿宋_GB2312" w:hAnsi="宋体" w:eastAsia="仿宋_GB2312" w:cs="宋体"/>
          <w:color w:val="000000"/>
          <w:position w:val="6"/>
          <w:sz w:val="32"/>
          <w:szCs w:val="32"/>
        </w:rPr>
      </w:pPr>
    </w:p>
    <w:p>
      <w:pPr>
        <w:keepNext w:val="0"/>
        <w:keepLines w:val="0"/>
        <w:pageBreakBefore w:val="0"/>
        <w:widowControl w:val="0"/>
        <w:kinsoku/>
        <w:topLinePunct/>
        <w:autoSpaceDE/>
        <w:autoSpaceDN/>
        <w:bidi w:val="0"/>
        <w:adjustRightInd w:val="0"/>
        <w:snapToGrid/>
        <w:spacing w:line="600" w:lineRule="exact"/>
        <w:ind w:left="0" w:leftChars="0" w:right="0" w:rightChars="0" w:firstLine="5072" w:firstLineChars="1600"/>
        <w:outlineLvl w:val="9"/>
        <w:rPr>
          <w:rFonts w:hint="eastAsia" w:ascii="仿宋_GB2312" w:hAnsi="宋体" w:eastAsia="仿宋_GB2312" w:cs="宋体"/>
          <w:color w:val="000000"/>
          <w:position w:val="6"/>
          <w:sz w:val="32"/>
          <w:szCs w:val="32"/>
        </w:rPr>
      </w:pPr>
    </w:p>
    <w:p>
      <w:pPr>
        <w:keepNext w:val="0"/>
        <w:keepLines w:val="0"/>
        <w:pageBreakBefore w:val="0"/>
        <w:widowControl w:val="0"/>
        <w:kinsoku/>
        <w:topLinePunct/>
        <w:autoSpaceDE/>
        <w:autoSpaceDN/>
        <w:bidi w:val="0"/>
        <w:adjustRightInd w:val="0"/>
        <w:snapToGrid/>
        <w:spacing w:line="600" w:lineRule="exact"/>
        <w:ind w:left="0" w:leftChars="0" w:right="0" w:rightChars="0" w:firstLine="951" w:firstLineChars="300"/>
        <w:outlineLvl w:val="9"/>
        <w:rPr>
          <w:rFonts w:hint="eastAsia" w:ascii="仿宋_GB2312" w:hAnsi="宋体" w:eastAsia="仿宋_GB2312" w:cs="宋体"/>
          <w:color w:val="000000"/>
          <w:position w:val="6"/>
          <w:sz w:val="32"/>
          <w:szCs w:val="32"/>
        </w:rPr>
      </w:pPr>
      <w:r>
        <w:rPr>
          <w:rFonts w:hint="eastAsia" w:ascii="仿宋_GB2312" w:hAnsi="宋体" w:eastAsia="仿宋_GB2312" w:cs="宋体"/>
          <w:color w:val="000000"/>
          <w:position w:val="6"/>
          <w:sz w:val="32"/>
          <w:szCs w:val="32"/>
        </w:rPr>
        <w:t>福州市</w:t>
      </w:r>
      <w:r>
        <w:rPr>
          <w:rFonts w:hint="eastAsia" w:ascii="仿宋_GB2312" w:hAnsi="宋体" w:eastAsia="仿宋_GB2312" w:cs="宋体"/>
          <w:color w:val="000000"/>
          <w:position w:val="6"/>
          <w:sz w:val="32"/>
          <w:szCs w:val="32"/>
          <w:lang w:val="en-US" w:eastAsia="zh-CN"/>
        </w:rPr>
        <w:t>工业和信息化局</w:t>
      </w:r>
      <w:r>
        <w:rPr>
          <w:rFonts w:hint="eastAsia" w:ascii="仿宋_GB2312" w:hAnsi="宋体" w:cs="宋体"/>
          <w:color w:val="000000"/>
          <w:position w:val="6"/>
          <w:sz w:val="32"/>
          <w:szCs w:val="32"/>
          <w:lang w:val="en-US" w:eastAsia="zh-CN"/>
        </w:rPr>
        <w:t xml:space="preserve">          福州市财政局</w:t>
      </w:r>
    </w:p>
    <w:p>
      <w:pPr>
        <w:keepNext w:val="0"/>
        <w:keepLines w:val="0"/>
        <w:pageBreakBefore w:val="0"/>
        <w:widowControl w:val="0"/>
        <w:kinsoku/>
        <w:wordWrap w:val="0"/>
        <w:autoSpaceDE/>
        <w:autoSpaceDN/>
        <w:bidi w:val="0"/>
        <w:snapToGrid/>
        <w:spacing w:line="600" w:lineRule="exact"/>
        <w:ind w:left="0" w:leftChars="0" w:right="0" w:rightChars="0"/>
        <w:jc w:val="center"/>
        <w:textAlignment w:val="baseline"/>
        <w:outlineLvl w:val="9"/>
        <w:rPr>
          <w:rFonts w:hint="eastAsia" w:ascii="仿宋_GB2312" w:hAnsi="宋体" w:eastAsia="仿宋_GB2312" w:cs="Times New Roman"/>
          <w:color w:val="000000"/>
          <w:sz w:val="32"/>
          <w:szCs w:val="32"/>
        </w:rPr>
      </w:pPr>
      <w:r>
        <w:rPr>
          <w:rFonts w:hint="eastAsia" w:ascii="仿宋_GB2312" w:hAnsi="宋体" w:cs="宋体"/>
          <w:color w:val="000000"/>
          <w:position w:val="6"/>
          <w:sz w:val="32"/>
          <w:szCs w:val="32"/>
          <w:lang w:val="en-US" w:eastAsia="zh-CN"/>
        </w:rPr>
        <w:t xml:space="preserve">                                </w:t>
      </w:r>
      <w:r>
        <w:rPr>
          <w:rFonts w:hint="eastAsia" w:ascii="仿宋_GB2312" w:hAnsi="宋体" w:eastAsia="仿宋_GB2312" w:cs="宋体"/>
          <w:color w:val="000000"/>
          <w:position w:val="6"/>
          <w:sz w:val="32"/>
          <w:szCs w:val="32"/>
          <w:lang w:val="en-US" w:eastAsia="zh-CN"/>
        </w:rPr>
        <w:t>20</w:t>
      </w:r>
      <w:r>
        <w:rPr>
          <w:rFonts w:hint="eastAsia" w:ascii="仿宋_GB2312" w:hAnsi="宋体" w:cs="宋体"/>
          <w:color w:val="000000"/>
          <w:position w:val="6"/>
          <w:sz w:val="32"/>
          <w:szCs w:val="32"/>
          <w:lang w:val="en-US" w:eastAsia="zh-CN"/>
        </w:rPr>
        <w:t>20</w:t>
      </w:r>
      <w:r>
        <w:rPr>
          <w:rFonts w:hint="eastAsia" w:ascii="仿宋_GB2312" w:hAnsi="宋体" w:eastAsia="仿宋_GB2312" w:cs="宋体"/>
          <w:color w:val="000000"/>
          <w:position w:val="6"/>
          <w:sz w:val="32"/>
          <w:szCs w:val="32"/>
        </w:rPr>
        <w:t>年</w:t>
      </w:r>
      <w:r>
        <w:rPr>
          <w:rFonts w:hint="eastAsia" w:ascii="仿宋_GB2312" w:hAnsi="宋体" w:cs="宋体"/>
          <w:color w:val="000000"/>
          <w:position w:val="6"/>
          <w:sz w:val="32"/>
          <w:szCs w:val="32"/>
          <w:lang w:val="en-US" w:eastAsia="zh-CN"/>
        </w:rPr>
        <w:t>3</w:t>
      </w:r>
      <w:r>
        <w:rPr>
          <w:rFonts w:hint="eastAsia" w:ascii="仿宋_GB2312" w:hAnsi="宋体" w:eastAsia="仿宋_GB2312" w:cs="宋体"/>
          <w:color w:val="000000"/>
          <w:position w:val="6"/>
          <w:sz w:val="32"/>
          <w:szCs w:val="32"/>
        </w:rPr>
        <w:t>月</w:t>
      </w:r>
      <w:r>
        <w:rPr>
          <w:rFonts w:hint="eastAsia" w:ascii="仿宋_GB2312" w:hAnsi="宋体" w:cs="宋体"/>
          <w:color w:val="000000"/>
          <w:position w:val="6"/>
          <w:sz w:val="32"/>
          <w:szCs w:val="32"/>
          <w:lang w:val="en-US" w:eastAsia="zh-CN"/>
        </w:rPr>
        <w:t>27</w:t>
      </w:r>
      <w:r>
        <w:rPr>
          <w:rFonts w:hint="eastAsia" w:ascii="仿宋_GB2312" w:hAnsi="宋体" w:eastAsia="仿宋_GB2312" w:cs="宋体"/>
          <w:color w:val="000000"/>
          <w:position w:val="6"/>
          <w:sz w:val="32"/>
          <w:szCs w:val="32"/>
        </w:rPr>
        <w:t>日</w:t>
      </w:r>
      <w:r>
        <w:rPr>
          <w:rFonts w:hint="eastAsia" w:ascii="仿宋_GB2312" w:hAnsi="宋体" w:eastAsia="仿宋_GB2312" w:cs="Times New Roman"/>
          <w:color w:val="000000"/>
          <w:sz w:val="32"/>
          <w:szCs w:val="32"/>
        </w:rPr>
        <w:t xml:space="preserve">  </w:t>
      </w:r>
    </w:p>
    <w:p>
      <w:pPr>
        <w:keepNext w:val="0"/>
        <w:keepLines w:val="0"/>
        <w:pageBreakBefore w:val="0"/>
        <w:widowControl w:val="0"/>
        <w:kinsoku/>
        <w:autoSpaceDE/>
        <w:autoSpaceDN/>
        <w:bidi w:val="0"/>
        <w:snapToGrid/>
        <w:spacing w:line="600" w:lineRule="exact"/>
        <w:ind w:right="0" w:rightChars="0"/>
        <w:outlineLvl w:val="0"/>
        <w:rPr>
          <w:rFonts w:hint="eastAsia" w:ascii="仿宋_GB2312" w:eastAsia="黑体"/>
          <w:sz w:val="32"/>
          <w:szCs w:val="32"/>
          <w:lang w:val="en-US" w:eastAsia="zh-CN"/>
        </w:rPr>
      </w:pPr>
      <w:r>
        <w:rPr>
          <w:rFonts w:hint="eastAsia" w:ascii="黑体" w:hAnsi="黑体" w:eastAsia="黑体" w:cs="黑体"/>
          <w:sz w:val="32"/>
          <w:szCs w:val="3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软件产业项目申报指南</w:t>
      </w:r>
    </w:p>
    <w:p>
      <w:pPr>
        <w:spacing w:beforeLines="0" w:afterLines="0"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上规模奖励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sz w:val="32"/>
          <w:szCs w:val="32"/>
        </w:rPr>
      </w:pPr>
      <w:r>
        <w:rPr>
          <w:rFonts w:hint="eastAsia" w:ascii="仿宋_GB2312" w:eastAsia="仿宋_GB2312"/>
          <w:b/>
          <w:bCs/>
          <w:sz w:val="32"/>
          <w:szCs w:val="32"/>
        </w:rPr>
        <w:t>1.申报条件：</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sz w:val="32"/>
          <w:szCs w:val="32"/>
          <w:lang w:val="en-US" w:eastAsia="zh-CN"/>
        </w:rPr>
        <w:t>2019年</w:t>
      </w:r>
      <w:r>
        <w:rPr>
          <w:rFonts w:hint="eastAsia" w:ascii="仿宋_GB2312" w:eastAsia="仿宋_GB2312"/>
          <w:sz w:val="32"/>
          <w:szCs w:val="32"/>
        </w:rPr>
        <w:t>软件业务收入首次突破5000万、1亿、3亿、5亿、10亿元且当年实际纳税（企业所得税、增值税）总额较上年度增长的涉软企业。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sz w:val="32"/>
          <w:szCs w:val="32"/>
        </w:rPr>
      </w:pPr>
      <w:r>
        <w:rPr>
          <w:rFonts w:hint="eastAsia" w:ascii="仿宋_GB2312" w:eastAsia="仿宋_GB2312"/>
          <w:b/>
          <w:bCs/>
          <w:sz w:val="32"/>
          <w:szCs w:val="32"/>
        </w:rPr>
        <w:t>2.奖励标准：</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对软件业务收入首次突破5000万元、1亿元、3亿元、5亿元、10亿元的软件企业，分别给予40万元、60万元、80万元、100万元、120万元奖励。奖励金额不超过企业缴纳的地方级税收收入。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3.申报材料：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（1）申报单位201</w:t>
      </w:r>
      <w:r>
        <w:rPr>
          <w:rFonts w:hint="eastAsia" w:ascii="仿宋_GB2312"/>
          <w:sz w:val="32"/>
          <w:szCs w:val="32"/>
          <w:lang w:val="en-US" w:eastAsia="zh-CN"/>
        </w:rPr>
        <w:t>8</w:t>
      </w:r>
      <w:r>
        <w:rPr>
          <w:rFonts w:hint="eastAsia" w:ascii="仿宋_GB2312" w:eastAsia="仿宋_GB2312"/>
          <w:sz w:val="32"/>
          <w:szCs w:val="32"/>
        </w:rPr>
        <w:t>年、201</w:t>
      </w:r>
      <w:r>
        <w:rPr>
          <w:rFonts w:hint="eastAsia" w:ascii="仿宋_GB2312"/>
          <w:sz w:val="32"/>
          <w:szCs w:val="32"/>
          <w:lang w:val="en-US" w:eastAsia="zh-CN"/>
        </w:rPr>
        <w:t>9</w:t>
      </w:r>
      <w:r>
        <w:rPr>
          <w:rFonts w:hint="eastAsia" w:ascii="仿宋_GB2312" w:eastAsia="仿宋_GB2312"/>
          <w:sz w:val="32"/>
          <w:szCs w:val="32"/>
        </w:rPr>
        <w:t>年财务报表；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（2）申报单位201</w:t>
      </w:r>
      <w:r>
        <w:rPr>
          <w:rFonts w:hint="eastAsia" w:ascii="仿宋_GB2312"/>
          <w:sz w:val="32"/>
          <w:szCs w:val="32"/>
          <w:lang w:val="en-US" w:eastAsia="zh-CN"/>
        </w:rPr>
        <w:t>8</w:t>
      </w:r>
      <w:r>
        <w:rPr>
          <w:rFonts w:hint="eastAsia" w:ascii="仿宋_GB2312" w:eastAsia="仿宋_GB2312"/>
          <w:sz w:val="32"/>
          <w:szCs w:val="32"/>
        </w:rPr>
        <w:t>年、201</w:t>
      </w:r>
      <w:r>
        <w:rPr>
          <w:rFonts w:hint="eastAsia" w:ascii="仿宋_GB2312"/>
          <w:sz w:val="32"/>
          <w:szCs w:val="32"/>
          <w:lang w:val="en-US" w:eastAsia="zh-CN"/>
        </w:rPr>
        <w:t>9</w:t>
      </w:r>
      <w:r>
        <w:rPr>
          <w:rFonts w:hint="eastAsia" w:ascii="仿宋_GB2312" w:eastAsia="仿宋_GB2312"/>
          <w:sz w:val="32"/>
          <w:szCs w:val="32"/>
        </w:rPr>
        <w:t>年纳税证明（入库期）。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快增速奖励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1.申报条件：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sz w:val="32"/>
          <w:szCs w:val="32"/>
          <w:lang w:val="en-US" w:eastAsia="zh-CN"/>
        </w:rPr>
        <w:t>2019年</w:t>
      </w:r>
      <w:r>
        <w:rPr>
          <w:rFonts w:hint="eastAsia" w:ascii="仿宋_GB2312" w:eastAsia="仿宋_GB2312"/>
          <w:sz w:val="32"/>
          <w:szCs w:val="32"/>
        </w:rPr>
        <w:t>营业收入超过1000万元，软件业务收入较</w:t>
      </w:r>
      <w:r>
        <w:rPr>
          <w:rFonts w:hint="eastAsia" w:ascii="仿宋_GB2312"/>
          <w:sz w:val="32"/>
          <w:szCs w:val="32"/>
          <w:lang w:val="en-US" w:eastAsia="zh-CN"/>
        </w:rPr>
        <w:t>2018年</w:t>
      </w:r>
      <w:r>
        <w:rPr>
          <w:rFonts w:hint="eastAsia" w:ascii="仿宋_GB2312" w:eastAsia="仿宋_GB2312"/>
          <w:sz w:val="32"/>
          <w:szCs w:val="32"/>
        </w:rPr>
        <w:t>增速达到100%、200%、300%</w:t>
      </w:r>
      <w:r>
        <w:rPr>
          <w:rFonts w:hint="eastAsia" w:ascii="仿宋_GB2312"/>
          <w:sz w:val="32"/>
          <w:szCs w:val="32"/>
          <w:lang w:eastAsia="zh-CN"/>
        </w:rPr>
        <w:t>，</w:t>
      </w:r>
      <w:r>
        <w:rPr>
          <w:rFonts w:hint="eastAsia" w:ascii="仿宋_GB2312" w:eastAsia="仿宋_GB2312"/>
          <w:sz w:val="32"/>
          <w:szCs w:val="32"/>
        </w:rPr>
        <w:t>且当年实际纳税（企业所得税、增值税）总额较上年度增长的涉软企业。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2.奖励标准：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对软件业务收入增速达到100%、200%、300%的企业，分别给予20万元、50万元、100万元奖励。奖励金额不超过企业缴纳的地方级税收收入。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sz w:val="32"/>
          <w:szCs w:val="32"/>
        </w:rPr>
      </w:pPr>
      <w:r>
        <w:rPr>
          <w:rFonts w:hint="eastAsia" w:ascii="仿宋_GB2312" w:eastAsia="仿宋_GB2312"/>
          <w:b/>
          <w:bCs/>
          <w:sz w:val="32"/>
          <w:szCs w:val="32"/>
        </w:rPr>
        <w:t>3.申报材料：</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（1）申报单位201</w:t>
      </w:r>
      <w:r>
        <w:rPr>
          <w:rFonts w:hint="eastAsia" w:ascii="仿宋_GB2312"/>
          <w:sz w:val="32"/>
          <w:szCs w:val="32"/>
          <w:lang w:val="en-US" w:eastAsia="zh-CN"/>
        </w:rPr>
        <w:t>8</w:t>
      </w:r>
      <w:r>
        <w:rPr>
          <w:rFonts w:hint="eastAsia" w:ascii="仿宋_GB2312" w:eastAsia="仿宋_GB2312"/>
          <w:sz w:val="32"/>
          <w:szCs w:val="32"/>
        </w:rPr>
        <w:t>年、201</w:t>
      </w:r>
      <w:r>
        <w:rPr>
          <w:rFonts w:hint="eastAsia" w:ascii="仿宋_GB2312"/>
          <w:sz w:val="32"/>
          <w:szCs w:val="32"/>
          <w:lang w:val="en-US" w:eastAsia="zh-CN"/>
        </w:rPr>
        <w:t>9</w:t>
      </w:r>
      <w:r>
        <w:rPr>
          <w:rFonts w:hint="eastAsia" w:ascii="仿宋_GB2312" w:eastAsia="仿宋_GB2312"/>
          <w:sz w:val="32"/>
          <w:szCs w:val="32"/>
        </w:rPr>
        <w:t>年财务报表；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（2）申报单位201</w:t>
      </w:r>
      <w:r>
        <w:rPr>
          <w:rFonts w:hint="eastAsia" w:ascii="仿宋_GB2312"/>
          <w:sz w:val="32"/>
          <w:szCs w:val="32"/>
          <w:lang w:val="en-US" w:eastAsia="zh-CN"/>
        </w:rPr>
        <w:t>8</w:t>
      </w:r>
      <w:r>
        <w:rPr>
          <w:rFonts w:hint="eastAsia" w:ascii="仿宋_GB2312" w:eastAsia="仿宋_GB2312"/>
          <w:sz w:val="32"/>
          <w:szCs w:val="32"/>
        </w:rPr>
        <w:t>年、201</w:t>
      </w:r>
      <w:r>
        <w:rPr>
          <w:rFonts w:hint="eastAsia" w:ascii="仿宋_GB2312"/>
          <w:sz w:val="32"/>
          <w:szCs w:val="32"/>
          <w:lang w:val="en-US" w:eastAsia="zh-CN"/>
        </w:rPr>
        <w:t>9</w:t>
      </w:r>
      <w:r>
        <w:rPr>
          <w:rFonts w:hint="eastAsia" w:ascii="仿宋_GB2312" w:eastAsia="仿宋_GB2312"/>
          <w:sz w:val="32"/>
          <w:szCs w:val="32"/>
        </w:rPr>
        <w:t>年纳税证明（入库期）。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建平台补助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1.申报条件：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sz w:val="32"/>
          <w:szCs w:val="32"/>
          <w:lang w:val="en-US" w:eastAsia="zh-CN"/>
        </w:rPr>
        <w:t>2019年</w:t>
      </w:r>
      <w:r>
        <w:rPr>
          <w:rFonts w:hint="eastAsia" w:ascii="仿宋_GB2312" w:eastAsia="仿宋_GB2312"/>
          <w:sz w:val="32"/>
          <w:szCs w:val="32"/>
        </w:rPr>
        <w:t>营业收入2亿元以上的互联网平台（收取平台服务费用，随用户业务增长而不断扩大规模的企业），且当年实际纳税（企业所得税、增值税）总额较上年度增长的涉软企业。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2.补助标准：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按企业营业收入年度同比增量的1%给予奖励，每家企业最多不超过100万元。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sz w:val="32"/>
          <w:szCs w:val="32"/>
        </w:rPr>
      </w:pPr>
      <w:r>
        <w:rPr>
          <w:rFonts w:hint="eastAsia" w:ascii="仿宋_GB2312" w:eastAsia="仿宋_GB2312"/>
          <w:b/>
          <w:bCs/>
          <w:sz w:val="32"/>
          <w:szCs w:val="32"/>
        </w:rPr>
        <w:t>3.申报材料：</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（1）申报单位201</w:t>
      </w:r>
      <w:r>
        <w:rPr>
          <w:rFonts w:hint="eastAsia" w:ascii="仿宋_GB2312"/>
          <w:sz w:val="32"/>
          <w:szCs w:val="32"/>
          <w:lang w:val="en-US" w:eastAsia="zh-CN"/>
        </w:rPr>
        <w:t>8</w:t>
      </w:r>
      <w:r>
        <w:rPr>
          <w:rFonts w:hint="eastAsia" w:ascii="仿宋_GB2312" w:eastAsia="仿宋_GB2312"/>
          <w:sz w:val="32"/>
          <w:szCs w:val="32"/>
        </w:rPr>
        <w:t>年、201</w:t>
      </w:r>
      <w:r>
        <w:rPr>
          <w:rFonts w:hint="eastAsia" w:ascii="仿宋_GB2312"/>
          <w:sz w:val="32"/>
          <w:szCs w:val="32"/>
          <w:lang w:val="en-US" w:eastAsia="zh-CN"/>
        </w:rPr>
        <w:t>9</w:t>
      </w:r>
      <w:r>
        <w:rPr>
          <w:rFonts w:hint="eastAsia" w:ascii="仿宋_GB2312" w:eastAsia="仿宋_GB2312"/>
          <w:sz w:val="32"/>
          <w:szCs w:val="32"/>
        </w:rPr>
        <w:t>年财务报表；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（2）申报单位201</w:t>
      </w:r>
      <w:r>
        <w:rPr>
          <w:rFonts w:hint="eastAsia" w:ascii="仿宋_GB2312"/>
          <w:sz w:val="32"/>
          <w:szCs w:val="32"/>
          <w:lang w:val="en-US" w:eastAsia="zh-CN"/>
        </w:rPr>
        <w:t>8</w:t>
      </w:r>
      <w:r>
        <w:rPr>
          <w:rFonts w:hint="eastAsia" w:ascii="仿宋_GB2312" w:eastAsia="仿宋_GB2312"/>
          <w:sz w:val="32"/>
          <w:szCs w:val="32"/>
        </w:rPr>
        <w:t>年、201</w:t>
      </w:r>
      <w:r>
        <w:rPr>
          <w:rFonts w:hint="eastAsia" w:ascii="仿宋_GB2312"/>
          <w:sz w:val="32"/>
          <w:szCs w:val="32"/>
          <w:lang w:val="en-US" w:eastAsia="zh-CN"/>
        </w:rPr>
        <w:t>9</w:t>
      </w:r>
      <w:r>
        <w:rPr>
          <w:rFonts w:hint="eastAsia" w:ascii="仿宋_GB2312" w:eastAsia="仿宋_GB2312"/>
          <w:sz w:val="32"/>
          <w:szCs w:val="32"/>
        </w:rPr>
        <w:t>年纳税证明（入库期）。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创荣誉奖励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1.申报条件：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201</w:t>
      </w:r>
      <w:r>
        <w:rPr>
          <w:rFonts w:hint="eastAsia" w:ascii="仿宋_GB2312"/>
          <w:sz w:val="32"/>
          <w:szCs w:val="32"/>
          <w:lang w:val="en-US" w:eastAsia="zh-CN"/>
        </w:rPr>
        <w:t>9</w:t>
      </w:r>
      <w:r>
        <w:rPr>
          <w:rFonts w:hint="eastAsia" w:ascii="仿宋_GB2312" w:eastAsia="仿宋_GB2312"/>
          <w:sz w:val="32"/>
          <w:szCs w:val="32"/>
        </w:rPr>
        <w:t>年首次获得以下荣誉或资质认证的企业：“</w:t>
      </w:r>
      <w:r>
        <w:rPr>
          <w:rFonts w:hint="eastAsia" w:ascii="仿宋_GB2312"/>
          <w:sz w:val="32"/>
          <w:szCs w:val="32"/>
          <w:lang w:eastAsia="zh-CN"/>
        </w:rPr>
        <w:t>中国</w:t>
      </w:r>
      <w:r>
        <w:rPr>
          <w:rFonts w:hint="eastAsia" w:ascii="仿宋_GB2312" w:eastAsia="仿宋_GB2312"/>
          <w:sz w:val="32"/>
          <w:szCs w:val="32"/>
        </w:rPr>
        <w:t>软件业务收入百强”、“</w:t>
      </w:r>
      <w:r>
        <w:rPr>
          <w:rFonts w:hint="eastAsia" w:ascii="仿宋_GB2312"/>
          <w:sz w:val="32"/>
          <w:szCs w:val="32"/>
          <w:lang w:eastAsia="zh-CN"/>
        </w:rPr>
        <w:t>中国</w:t>
      </w:r>
      <w:r>
        <w:rPr>
          <w:rFonts w:hint="eastAsia" w:ascii="仿宋_GB2312" w:eastAsia="仿宋_GB2312"/>
          <w:sz w:val="32"/>
          <w:szCs w:val="32"/>
        </w:rPr>
        <w:t>软件和信息技术服务综合竞争力百强”、“中国互联网百强”、国家集成电路“中国芯”等国家级荣誉的企业，以及入围估计市值超过10亿美元的独角兽榜单企业。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2.奖励标准：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对获得以上荣誉的企业给予一次性50万元奖励。往年已获得省市相同奖励的企业不得重复申请。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3.申报材料：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sz w:val="32"/>
          <w:szCs w:val="32"/>
          <w:lang w:val="en-US" w:eastAsia="zh-CN"/>
        </w:rPr>
        <w:t>19年</w:t>
      </w:r>
      <w:r>
        <w:rPr>
          <w:rFonts w:hint="eastAsia" w:ascii="仿宋_GB2312" w:eastAsia="仿宋_GB2312"/>
          <w:sz w:val="32"/>
          <w:szCs w:val="32"/>
        </w:rPr>
        <w:t>获得以上荣誉的文件或证书复印件。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资质认证奖励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1.申报条件：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（1）201</w:t>
      </w:r>
      <w:r>
        <w:rPr>
          <w:rFonts w:hint="eastAsia" w:ascii="仿宋_GB2312"/>
          <w:sz w:val="32"/>
          <w:szCs w:val="32"/>
          <w:lang w:val="en-US" w:eastAsia="zh-CN"/>
        </w:rPr>
        <w:t>9</w:t>
      </w:r>
      <w:r>
        <w:rPr>
          <w:rFonts w:hint="eastAsia" w:ascii="仿宋_GB2312" w:eastAsia="仿宋_GB2312"/>
          <w:sz w:val="32"/>
          <w:szCs w:val="32"/>
        </w:rPr>
        <w:t>年1月1日至201</w:t>
      </w:r>
      <w:r>
        <w:rPr>
          <w:rFonts w:hint="eastAsia" w:ascii="仿宋_GB2312"/>
          <w:sz w:val="32"/>
          <w:szCs w:val="32"/>
          <w:lang w:val="en-US" w:eastAsia="zh-CN"/>
        </w:rPr>
        <w:t>9</w:t>
      </w:r>
      <w:r>
        <w:rPr>
          <w:rFonts w:hint="eastAsia" w:ascii="仿宋_GB2312" w:eastAsia="仿宋_GB2312"/>
          <w:sz w:val="32"/>
          <w:szCs w:val="32"/>
        </w:rPr>
        <w:t>年12月31日期间新取得以下资质：CMMI（三级及以上，或认证升级），ITSS（一级、二级，或认证升级）；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（2）认证机构或辅导机构需获得国际/国内认证机构的授权或认可。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2.奖励标准：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对首次通过CMMI（软件能力成熟度集成模型）五级、四级、三级认证或认证升级的企业，分别给予30万元、20万元、10万元奖励；对首次通过ITSS（信息技术服务标准）一级、二级认证或认证升级的企业，给予10万元、5万元奖励。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3.申报材料：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（1）取得资质认证的文件或证书复印件，认证机构网站相关公告页面打印件</w:t>
      </w:r>
      <w:r>
        <w:rPr>
          <w:rFonts w:hint="eastAsia" w:ascii="仿宋_GB2312"/>
          <w:sz w:val="32"/>
          <w:szCs w:val="32"/>
          <w:lang w:eastAsia="zh-CN"/>
        </w:rPr>
        <w:t>等</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（2）认证（或认证升级）合同或辅导合同，付款发票复印件；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（3）认证机构资质证书或获得国际/国内认证机构授权认可文件复印件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sz w:val="32"/>
          <w:szCs w:val="32"/>
          <w:lang w:val="en-US" w:eastAsia="zh-CN"/>
        </w:rPr>
        <w:t>注：以上</w:t>
      </w:r>
      <w:r>
        <w:rPr>
          <w:rFonts w:hint="eastAsia" w:ascii="仿宋_GB2312" w:eastAsia="仿宋_GB2312"/>
          <w:sz w:val="32"/>
          <w:szCs w:val="32"/>
        </w:rPr>
        <w:t xml:space="preserve">外文资料需翻译成中文。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六、优秀产品奖励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1.申报条件：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sz w:val="32"/>
          <w:szCs w:val="32"/>
          <w:lang w:val="en-US" w:eastAsia="zh-CN"/>
        </w:rPr>
      </w:pPr>
      <w:r>
        <w:rPr>
          <w:rFonts w:hint="eastAsia" w:ascii="仿宋_GB2312"/>
          <w:b/>
          <w:bCs/>
          <w:sz w:val="32"/>
          <w:szCs w:val="32"/>
          <w:lang w:val="en-US" w:eastAsia="zh-CN"/>
        </w:rPr>
        <w:t>优秀软件产品：</w:t>
      </w:r>
      <w:r>
        <w:rPr>
          <w:rFonts w:hint="eastAsia" w:ascii="仿宋_GB2312"/>
          <w:sz w:val="32"/>
          <w:szCs w:val="32"/>
          <w:lang w:val="en-US" w:eastAsia="zh-CN"/>
        </w:rPr>
        <w:t>自主研发、技术水平先进，具备拥有较大用户群和市场销售量的可接受申报，优先支持IC设计、大数据、物联网、人工智能、区块链、工业软件、网络安全等领域的产品，产品开发完成时间应在2017年1月1日之后，2019年销售额在1000万元以上，择优纳入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sz w:val="32"/>
          <w:szCs w:val="32"/>
          <w:lang w:val="en-US" w:eastAsia="zh-CN"/>
        </w:rPr>
      </w:pPr>
      <w:r>
        <w:rPr>
          <w:rFonts w:hint="eastAsia" w:ascii="仿宋_GB2312"/>
          <w:b/>
          <w:bCs/>
          <w:sz w:val="32"/>
          <w:szCs w:val="32"/>
          <w:lang w:val="en-US" w:eastAsia="zh-CN"/>
        </w:rPr>
        <w:t>优秀应用解决方案：</w:t>
      </w:r>
      <w:r>
        <w:rPr>
          <w:rFonts w:hint="eastAsia" w:ascii="仿宋_GB2312"/>
          <w:sz w:val="32"/>
          <w:szCs w:val="32"/>
          <w:lang w:val="en-US" w:eastAsia="zh-CN"/>
        </w:rPr>
        <w:t>在政府、行业以及企业数字化转型等各类应用中得到实际应用的解决方案，方案开发完成时间应在2017年1月1日之后，2019年销售额在2000万元以上，根据用户规模、经济效益等指标择优纳入名单。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default" w:ascii="仿宋_GB2312"/>
          <w:sz w:val="32"/>
          <w:szCs w:val="32"/>
          <w:u w:val="single"/>
          <w:lang w:val="en-US" w:eastAsia="zh-CN"/>
        </w:rPr>
      </w:pPr>
      <w:r>
        <w:rPr>
          <w:rFonts w:hint="eastAsia" w:ascii="仿宋_GB2312"/>
          <w:sz w:val="32"/>
          <w:szCs w:val="32"/>
          <w:u w:val="single"/>
          <w:lang w:val="en-US" w:eastAsia="zh-CN"/>
        </w:rPr>
        <w:t>原则上本项目每家企业申报1件（含产品及应用解决方案）；往年获评福州市优秀软件产品的不得再次参评。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2.奖励标准：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default" w:ascii="仿宋_GB2312"/>
          <w:sz w:val="32"/>
          <w:szCs w:val="32"/>
          <w:lang w:val="en-US" w:eastAsia="zh-CN"/>
        </w:rPr>
      </w:pPr>
      <w:r>
        <w:rPr>
          <w:rFonts w:hint="eastAsia" w:ascii="仿宋_GB2312"/>
          <w:sz w:val="32"/>
          <w:szCs w:val="32"/>
          <w:lang w:val="en-US" w:eastAsia="zh-CN"/>
        </w:rPr>
        <w:t>本项目共评选10件。给予入选的每个产品或应用解决方案30万元奖励。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 xml:space="preserve">申报材料：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default" w:ascii="仿宋_GB2312"/>
          <w:b/>
          <w:bCs/>
          <w:sz w:val="32"/>
          <w:szCs w:val="32"/>
          <w:lang w:val="en-US" w:eastAsia="zh-CN"/>
        </w:rPr>
      </w:pPr>
      <w:r>
        <w:rPr>
          <w:rFonts w:hint="eastAsia" w:ascii="仿宋_GB2312"/>
          <w:b/>
          <w:bCs/>
          <w:sz w:val="32"/>
          <w:szCs w:val="32"/>
          <w:lang w:val="en-US" w:eastAsia="zh-CN"/>
        </w:rPr>
        <w:t>申报优秀软件产品的应提供：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eastAsia" w:ascii="仿宋_GB2312"/>
          <w:sz w:val="32"/>
          <w:szCs w:val="32"/>
          <w:lang w:val="en-US" w:eastAsia="zh-CN"/>
        </w:rPr>
      </w:pPr>
      <w:r>
        <w:rPr>
          <w:rFonts w:hint="eastAsia" w:ascii="仿宋_GB2312"/>
          <w:sz w:val="32"/>
          <w:szCs w:val="32"/>
          <w:lang w:val="en-US" w:eastAsia="zh-CN"/>
        </w:rPr>
        <w:t>（1）福州市优秀软件产品申报表；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eastAsia" w:ascii="仿宋_GB2312"/>
          <w:sz w:val="32"/>
          <w:szCs w:val="32"/>
          <w:lang w:val="en-US" w:eastAsia="zh-CN"/>
        </w:rPr>
      </w:pPr>
      <w:r>
        <w:rPr>
          <w:rFonts w:hint="eastAsia" w:ascii="仿宋_GB2312"/>
          <w:sz w:val="32"/>
          <w:szCs w:val="32"/>
          <w:lang w:val="en-US" w:eastAsia="zh-CN"/>
        </w:rPr>
        <w:t>（2）软件产品著作权登记证书、软件产品评测报告，其他获奖证书等；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eastAsia" w:ascii="仿宋_GB2312"/>
          <w:sz w:val="32"/>
          <w:szCs w:val="32"/>
          <w:lang w:val="en-US" w:eastAsia="zh-CN"/>
        </w:rPr>
      </w:pPr>
      <w:r>
        <w:rPr>
          <w:rFonts w:hint="eastAsia" w:ascii="仿宋_GB2312"/>
          <w:sz w:val="32"/>
          <w:szCs w:val="32"/>
          <w:lang w:val="en-US" w:eastAsia="zh-CN"/>
        </w:rPr>
        <w:t>（3）软件产品用户使用手册或技术手册；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eastAsia" w:ascii="仿宋_GB2312"/>
          <w:sz w:val="32"/>
          <w:szCs w:val="32"/>
          <w:lang w:val="en-US" w:eastAsia="zh-CN"/>
        </w:rPr>
      </w:pPr>
      <w:r>
        <w:rPr>
          <w:rFonts w:hint="eastAsia" w:ascii="仿宋_GB2312"/>
          <w:sz w:val="32"/>
          <w:szCs w:val="32"/>
          <w:lang w:val="en-US" w:eastAsia="zh-CN"/>
        </w:rPr>
        <w:t>（4）软件产品实际应用的3家用户意见（仅面向C端的软件产品不需要提供）；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eastAsia" w:ascii="仿宋_GB2312"/>
          <w:sz w:val="32"/>
          <w:szCs w:val="32"/>
          <w:lang w:val="en-US" w:eastAsia="zh-CN"/>
        </w:rPr>
      </w:pPr>
      <w:r>
        <w:rPr>
          <w:rFonts w:hint="eastAsia" w:ascii="仿宋_GB2312"/>
          <w:sz w:val="32"/>
          <w:szCs w:val="32"/>
          <w:lang w:val="en-US" w:eastAsia="zh-CN"/>
        </w:rPr>
        <w:t>（5）上一年度该产品销售收入列表。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eastAsia" w:ascii="仿宋_GB2312"/>
          <w:b/>
          <w:bCs/>
          <w:sz w:val="32"/>
          <w:szCs w:val="32"/>
          <w:lang w:val="en-US" w:eastAsia="zh-CN"/>
        </w:rPr>
      </w:pPr>
      <w:r>
        <w:rPr>
          <w:rFonts w:hint="eastAsia" w:ascii="仿宋_GB2312"/>
          <w:b/>
          <w:bCs/>
          <w:sz w:val="32"/>
          <w:szCs w:val="32"/>
          <w:lang w:val="en-US" w:eastAsia="zh-CN"/>
        </w:rPr>
        <w:t>申报优秀应用解决方案的应提供：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92"/>
        <w:jc w:val="both"/>
        <w:textAlignment w:val="auto"/>
        <w:rPr>
          <w:rFonts w:hint="eastAsia" w:ascii="仿宋_GB2312"/>
          <w:sz w:val="32"/>
          <w:szCs w:val="32"/>
          <w:lang w:val="en-US" w:eastAsia="zh-CN"/>
        </w:rPr>
      </w:pPr>
      <w:r>
        <w:rPr>
          <w:rFonts w:hint="eastAsia" w:ascii="仿宋_GB2312"/>
          <w:sz w:val="32"/>
          <w:szCs w:val="32"/>
          <w:lang w:val="en-US" w:eastAsia="zh-CN"/>
        </w:rPr>
        <w:t>福州市优秀应用解决方案申报表;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592"/>
        <w:jc w:val="both"/>
        <w:textAlignment w:val="auto"/>
        <w:rPr>
          <w:rFonts w:hint="default" w:ascii="仿宋_GB2312"/>
          <w:sz w:val="32"/>
          <w:szCs w:val="32"/>
          <w:lang w:val="en-US" w:eastAsia="zh-CN"/>
        </w:rPr>
      </w:pPr>
      <w:r>
        <w:rPr>
          <w:rFonts w:hint="eastAsia" w:ascii="仿宋_GB2312"/>
          <w:sz w:val="32"/>
          <w:szCs w:val="32"/>
          <w:lang w:val="en-US" w:eastAsia="zh-CN"/>
        </w:rPr>
        <w:t>应用解决方案说明书，包括但不限于: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sz w:val="32"/>
          <w:szCs w:val="32"/>
          <w:lang w:val="en-US" w:eastAsia="zh-CN"/>
        </w:rPr>
      </w:pPr>
      <w:r>
        <w:rPr>
          <w:rFonts w:hint="eastAsia" w:ascii="仿宋_GB2312"/>
          <w:sz w:val="32"/>
          <w:szCs w:val="32"/>
          <w:lang w:val="en-US" w:eastAsia="zh-CN"/>
        </w:rPr>
        <w:t xml:space="preserve">    一是综述（解决的主要问题和实施路径）；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sz w:val="32"/>
          <w:szCs w:val="32"/>
          <w:lang w:val="en-US" w:eastAsia="zh-CN"/>
        </w:rPr>
      </w:pPr>
      <w:r>
        <w:rPr>
          <w:rFonts w:hint="eastAsia" w:ascii="仿宋_GB2312"/>
          <w:sz w:val="32"/>
          <w:szCs w:val="32"/>
          <w:lang w:val="en-US" w:eastAsia="zh-CN"/>
        </w:rPr>
        <w:t xml:space="preserve">    二是创新点及与行业其他方案的比较优势；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sz w:val="32"/>
          <w:szCs w:val="32"/>
          <w:lang w:val="en-US" w:eastAsia="zh-CN"/>
        </w:rPr>
      </w:pPr>
      <w:r>
        <w:rPr>
          <w:rFonts w:hint="eastAsia" w:ascii="仿宋_GB2312"/>
          <w:sz w:val="32"/>
          <w:szCs w:val="32"/>
          <w:lang w:val="en-US" w:eastAsia="zh-CN"/>
        </w:rPr>
        <w:t>三是应用推广前景与社会、经济效益；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sz w:val="32"/>
          <w:szCs w:val="32"/>
          <w:lang w:val="en-US" w:eastAsia="zh-CN"/>
        </w:rPr>
      </w:pPr>
      <w:r>
        <w:rPr>
          <w:rFonts w:hint="eastAsia" w:ascii="仿宋_GB2312"/>
          <w:sz w:val="32"/>
          <w:szCs w:val="32"/>
          <w:lang w:val="en-US" w:eastAsia="zh-CN"/>
        </w:rPr>
        <w:t>四是实施保障措施等。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92"/>
        <w:jc w:val="both"/>
        <w:textAlignment w:val="auto"/>
        <w:rPr>
          <w:rFonts w:hint="eastAsia" w:ascii="仿宋_GB2312"/>
          <w:sz w:val="32"/>
          <w:szCs w:val="32"/>
          <w:lang w:val="en-US" w:eastAsia="zh-CN"/>
        </w:rPr>
      </w:pPr>
      <w:r>
        <w:rPr>
          <w:rFonts w:hint="eastAsia" w:ascii="仿宋_GB2312"/>
          <w:sz w:val="32"/>
          <w:szCs w:val="32"/>
          <w:lang w:val="en-US" w:eastAsia="zh-CN"/>
        </w:rPr>
        <w:t>（3）应用解决方案实际应用的3家用户意见；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sz w:val="32"/>
          <w:szCs w:val="32"/>
          <w:lang w:val="en-US" w:eastAsia="zh-CN"/>
        </w:rPr>
      </w:pPr>
      <w:r>
        <w:rPr>
          <w:rFonts w:hint="eastAsia" w:ascii="仿宋_GB2312"/>
          <w:sz w:val="32"/>
          <w:szCs w:val="32"/>
          <w:lang w:val="en-US" w:eastAsia="zh-CN"/>
        </w:rPr>
        <w:t>（4）上一年度该方案销售收入列表。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七、支持上云补助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1.申报条件：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sz w:val="32"/>
          <w:szCs w:val="32"/>
          <w:lang w:val="en-US" w:eastAsia="zh-CN"/>
        </w:rPr>
      </w:pPr>
      <w:r>
        <w:rPr>
          <w:rFonts w:hint="eastAsia" w:ascii="仿宋_GB2312"/>
          <w:sz w:val="32"/>
          <w:szCs w:val="32"/>
          <w:lang w:val="en-US" w:eastAsia="zh-CN"/>
        </w:rPr>
        <w:t>2019年1月1日至2019年12月31日期间本地软件企业使用经福州市工信局认定的云服务商提供的云服务。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2.补助标准：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sz w:val="32"/>
          <w:szCs w:val="32"/>
          <w:lang w:val="en-US" w:eastAsia="zh-CN"/>
        </w:rPr>
      </w:pPr>
      <w:r>
        <w:rPr>
          <w:rFonts w:hint="eastAsia" w:ascii="仿宋_GB2312"/>
          <w:sz w:val="32"/>
          <w:szCs w:val="32"/>
          <w:lang w:val="en-US" w:eastAsia="zh-CN"/>
        </w:rPr>
        <w:t>对2019年1月1日至2019年12月31日期间实际完成的上云费用，按照50%给予补贴，每家企业每年最高不超过10万元。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 xml:space="preserve">3.申报材料：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w:t>
      </w:r>
      <w:r>
        <w:rPr>
          <w:rFonts w:hint="eastAsia" w:ascii="仿宋_GB2312"/>
          <w:sz w:val="32"/>
          <w:szCs w:val="32"/>
          <w:lang w:val="en-US" w:eastAsia="zh-CN"/>
        </w:rPr>
        <w:t>（1）软件企业</w:t>
      </w:r>
      <w:r>
        <w:rPr>
          <w:rFonts w:hint="eastAsia" w:ascii="仿宋_GB2312" w:eastAsia="仿宋_GB2312"/>
          <w:sz w:val="32"/>
          <w:szCs w:val="32"/>
          <w:lang w:val="en-US" w:eastAsia="zh-CN"/>
        </w:rPr>
        <w:t>上云补贴申请表；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7"/>
        <w:jc w:val="both"/>
        <w:textAlignment w:val="auto"/>
        <w:rPr>
          <w:rFonts w:hint="eastAsia" w:ascii="仿宋_GB2312" w:eastAsia="仿宋_GB2312"/>
          <w:sz w:val="32"/>
          <w:szCs w:val="32"/>
        </w:rPr>
      </w:pPr>
      <w:r>
        <w:rPr>
          <w:rFonts w:hint="eastAsia" w:ascii="仿宋_GB2312" w:eastAsia="仿宋_GB2312"/>
          <w:sz w:val="32"/>
          <w:szCs w:val="32"/>
          <w:lang w:val="en-US" w:eastAsia="zh-CN"/>
        </w:rPr>
        <w:t>（</w:t>
      </w:r>
      <w:r>
        <w:rPr>
          <w:rFonts w:hint="eastAsia" w:ascii="仿宋_GB2312"/>
          <w:sz w:val="32"/>
          <w:szCs w:val="32"/>
          <w:lang w:val="en-US" w:eastAsia="zh-CN"/>
        </w:rPr>
        <w:t>2</w:t>
      </w:r>
      <w:r>
        <w:rPr>
          <w:rFonts w:hint="eastAsia" w:ascii="仿宋_GB2312" w:eastAsia="仿宋_GB2312"/>
          <w:sz w:val="32"/>
          <w:szCs w:val="32"/>
          <w:lang w:val="en-US" w:eastAsia="zh-CN"/>
        </w:rPr>
        <w:t>）企业与云服务商签订的上云合同及发票复印件（合同上应明确上云内容）。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首购奖励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1.申报条件：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（1）申报单位所采购的信息系统解决方案应为本单位自用，并已开始使用；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（2）申报单位所采购信息系统解决方案是由工商注册地、税务登记地、办公场所均在我市辖区内的软件企业提供；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（3）信息系统解决方案采购时间为201</w:t>
      </w:r>
      <w:r>
        <w:rPr>
          <w:rFonts w:hint="eastAsia" w:ascii="仿宋_GB2312"/>
          <w:sz w:val="32"/>
          <w:szCs w:val="32"/>
          <w:lang w:val="en-US" w:eastAsia="zh-CN"/>
        </w:rPr>
        <w:t>9</w:t>
      </w:r>
      <w:r>
        <w:rPr>
          <w:rFonts w:hint="eastAsia" w:ascii="仿宋_GB2312" w:eastAsia="仿宋_GB2312"/>
          <w:sz w:val="32"/>
          <w:szCs w:val="32"/>
        </w:rPr>
        <w:t>年1月1日—201</w:t>
      </w:r>
      <w:r>
        <w:rPr>
          <w:rFonts w:hint="eastAsia" w:ascii="仿宋_GB2312"/>
          <w:sz w:val="32"/>
          <w:szCs w:val="32"/>
          <w:lang w:val="en-US" w:eastAsia="zh-CN"/>
        </w:rPr>
        <w:t>9</w:t>
      </w:r>
      <w:r>
        <w:rPr>
          <w:rFonts w:hint="eastAsia" w:ascii="仿宋_GB2312" w:eastAsia="仿宋_GB2312"/>
          <w:sz w:val="32"/>
          <w:szCs w:val="32"/>
        </w:rPr>
        <w:t>年12月31日，采购费用为100万元以上；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（4）方案开发完成，取得知识产权、软件著作权登记时间为201</w:t>
      </w:r>
      <w:r>
        <w:rPr>
          <w:rFonts w:hint="eastAsia" w:ascii="仿宋_GB2312"/>
          <w:sz w:val="32"/>
          <w:szCs w:val="32"/>
          <w:lang w:val="en-US" w:eastAsia="zh-CN"/>
        </w:rPr>
        <w:t>9</w:t>
      </w:r>
      <w:r>
        <w:rPr>
          <w:rFonts w:hint="eastAsia" w:ascii="仿宋_GB2312" w:eastAsia="仿宋_GB2312"/>
          <w:sz w:val="32"/>
          <w:szCs w:val="32"/>
        </w:rPr>
        <w:t>年1月1日—201</w:t>
      </w:r>
      <w:r>
        <w:rPr>
          <w:rFonts w:hint="eastAsia" w:ascii="仿宋_GB2312"/>
          <w:sz w:val="32"/>
          <w:szCs w:val="32"/>
          <w:lang w:val="en-US" w:eastAsia="zh-CN"/>
        </w:rPr>
        <w:t>9</w:t>
      </w:r>
      <w:r>
        <w:rPr>
          <w:rFonts w:hint="eastAsia" w:ascii="仿宋_GB2312" w:eastAsia="仿宋_GB2312"/>
          <w:sz w:val="32"/>
          <w:szCs w:val="32"/>
        </w:rPr>
        <w:t>年12月31日期间；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（5）方案中所含</w:t>
      </w:r>
      <w:r>
        <w:rPr>
          <w:rFonts w:hint="eastAsia" w:ascii="仿宋_GB2312"/>
          <w:sz w:val="32"/>
          <w:szCs w:val="32"/>
          <w:lang w:eastAsia="zh-CN"/>
        </w:rPr>
        <w:t>核心</w:t>
      </w:r>
      <w:r>
        <w:rPr>
          <w:rFonts w:hint="eastAsia" w:ascii="仿宋_GB2312" w:eastAsia="仿宋_GB2312"/>
          <w:sz w:val="32"/>
          <w:szCs w:val="32"/>
        </w:rPr>
        <w:t>软件产品在此次采购前未被其他任何单位采购使用；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（6）以下情况不符合奖励条件：用户单位购买关联企业的方案</w:t>
      </w:r>
      <w:r>
        <w:rPr>
          <w:rFonts w:hint="eastAsia" w:ascii="仿宋_GB2312"/>
          <w:sz w:val="32"/>
          <w:szCs w:val="32"/>
          <w:lang w:eastAsia="zh-CN"/>
        </w:rPr>
        <w:t>；使用财政资金进行采购的方案。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2.奖励标准：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按照采购费用开票金额30%给予奖励，最高不超过100万元。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3.申报材料：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（1）申报产品的采购合同、发票、转账凭证复印件；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（2）知识产权归属和授权使用的证明材料（如：专利证书、软件著作权等）；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（3）被采购方公司营业执照、税务登记证（或“三证合一”营业执照）复印件</w:t>
      </w:r>
      <w:r>
        <w:rPr>
          <w:rFonts w:hint="eastAsia" w:ascii="仿宋_GB2312" w:eastAsia="仿宋_GB2312"/>
          <w:sz w:val="32"/>
          <w:szCs w:val="32"/>
          <w:lang w:eastAsia="zh-CN"/>
        </w:rPr>
        <w:t>（</w:t>
      </w:r>
      <w:r>
        <w:rPr>
          <w:rFonts w:hint="eastAsia" w:ascii="仿宋_GB2312" w:eastAsia="仿宋_GB2312"/>
          <w:sz w:val="32"/>
          <w:szCs w:val="32"/>
          <w:lang w:val="en-US" w:eastAsia="zh-CN"/>
        </w:rPr>
        <w:t>需加盖被采购方公章）</w:t>
      </w:r>
      <w:r>
        <w:rPr>
          <w:rFonts w:hint="eastAsia" w:ascii="仿宋_GB2312" w:eastAsia="仿宋_GB2312"/>
          <w:sz w:val="32"/>
          <w:szCs w:val="32"/>
        </w:rPr>
        <w:t>和所从事主营业务</w:t>
      </w:r>
      <w:r>
        <w:rPr>
          <w:rFonts w:hint="eastAsia" w:ascii="仿宋_GB2312"/>
          <w:sz w:val="32"/>
          <w:szCs w:val="32"/>
          <w:lang w:eastAsia="zh-CN"/>
        </w:rPr>
        <w:t>相关</w:t>
      </w:r>
      <w:r>
        <w:rPr>
          <w:rFonts w:hint="eastAsia" w:ascii="仿宋_GB2312" w:eastAsia="仿宋_GB2312"/>
          <w:sz w:val="32"/>
          <w:szCs w:val="32"/>
        </w:rPr>
        <w:t>资质的证明材料（已取得的需提供）；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（4）被采购方出具的首购首用证明。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省内市外中标奖励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1.申报条件：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（1）申报企业为我市涉软企业，重点支持物联网相关企业；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（2）申报企业参与省</w:t>
      </w:r>
      <w:r>
        <w:rPr>
          <w:rFonts w:hint="eastAsia" w:ascii="仿宋_GB2312"/>
          <w:sz w:val="32"/>
          <w:szCs w:val="32"/>
          <w:lang w:val="en-US" w:eastAsia="zh-CN"/>
        </w:rPr>
        <w:t>内市</w:t>
      </w:r>
      <w:r>
        <w:rPr>
          <w:rFonts w:hint="eastAsia" w:ascii="仿宋_GB2312" w:eastAsia="仿宋_GB2312"/>
          <w:sz w:val="32"/>
          <w:szCs w:val="32"/>
        </w:rPr>
        <w:t>外招投标项目中标，并经由具有合法资质的第三方招投标平台进行公开招标；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（3）申报单位在201</w:t>
      </w:r>
      <w:r>
        <w:rPr>
          <w:rFonts w:hint="eastAsia" w:ascii="仿宋_GB2312"/>
          <w:sz w:val="32"/>
          <w:szCs w:val="32"/>
          <w:lang w:val="en-US" w:eastAsia="zh-CN"/>
        </w:rPr>
        <w:t>9</w:t>
      </w:r>
      <w:r>
        <w:rPr>
          <w:rFonts w:hint="eastAsia" w:ascii="仿宋_GB2312" w:eastAsia="仿宋_GB2312"/>
          <w:sz w:val="32"/>
          <w:szCs w:val="32"/>
        </w:rPr>
        <w:t>年1月1日—201</w:t>
      </w:r>
      <w:r>
        <w:rPr>
          <w:rFonts w:hint="eastAsia" w:ascii="仿宋_GB2312"/>
          <w:sz w:val="32"/>
          <w:szCs w:val="32"/>
          <w:lang w:val="en-US" w:eastAsia="zh-CN"/>
        </w:rPr>
        <w:t>9</w:t>
      </w:r>
      <w:r>
        <w:rPr>
          <w:rFonts w:hint="eastAsia" w:ascii="仿宋_GB2312" w:eastAsia="仿宋_GB2312"/>
          <w:sz w:val="32"/>
          <w:szCs w:val="32"/>
        </w:rPr>
        <w:t>年12月31日期间签订合同，且单项中标合同（指同一标号）金额在500万元及以上（以签订合同金额为准）；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（4）截至201</w:t>
      </w:r>
      <w:r>
        <w:rPr>
          <w:rFonts w:hint="eastAsia" w:ascii="仿宋_GB2312"/>
          <w:sz w:val="32"/>
          <w:szCs w:val="32"/>
          <w:lang w:val="en-US" w:eastAsia="zh-CN"/>
        </w:rPr>
        <w:t>9</w:t>
      </w:r>
      <w:r>
        <w:rPr>
          <w:rFonts w:hint="eastAsia" w:ascii="仿宋_GB2312" w:eastAsia="仿宋_GB2312"/>
          <w:sz w:val="32"/>
          <w:szCs w:val="32"/>
        </w:rPr>
        <w:t>年12月31日，实际履行合同并收到款项达到合同金额的60%以上。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2.奖励标准：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default" w:eastAsia="仿宋_GB2312"/>
          <w:lang w:val="en-US" w:eastAsia="zh-CN"/>
        </w:rPr>
      </w:pPr>
      <w:r>
        <w:rPr>
          <w:rFonts w:hint="eastAsia" w:ascii="仿宋_GB2312" w:eastAsia="仿宋_GB2312"/>
          <w:sz w:val="32"/>
          <w:szCs w:val="32"/>
        </w:rPr>
        <w:t>按照</w:t>
      </w:r>
      <w:r>
        <w:rPr>
          <w:rFonts w:hint="eastAsia" w:ascii="仿宋_GB2312"/>
          <w:sz w:val="32"/>
          <w:szCs w:val="32"/>
          <w:lang w:eastAsia="zh-CN"/>
        </w:rPr>
        <w:t>截至</w:t>
      </w:r>
      <w:r>
        <w:rPr>
          <w:rFonts w:hint="eastAsia" w:ascii="仿宋_GB2312"/>
          <w:sz w:val="32"/>
          <w:szCs w:val="32"/>
          <w:lang w:val="en-US" w:eastAsia="zh-CN"/>
        </w:rPr>
        <w:t>2019年12月31日</w:t>
      </w:r>
      <w:r>
        <w:rPr>
          <w:rFonts w:hint="eastAsia" w:ascii="仿宋_GB2312" w:eastAsia="仿宋_GB2312"/>
          <w:sz w:val="32"/>
          <w:szCs w:val="32"/>
        </w:rPr>
        <w:t>完成金额的4.5%给予奖励</w:t>
      </w:r>
      <w:r>
        <w:rPr>
          <w:rFonts w:hint="default"/>
        </w:rPr>
        <w:t>。同一项目、系统或产品奖励金额最高不超过</w:t>
      </w:r>
      <w:r>
        <w:rPr>
          <w:rFonts w:hint="default"/>
          <w:lang w:val="en-US" w:eastAsia="zh-CN"/>
        </w:rPr>
        <w:t>1</w:t>
      </w:r>
      <w:r>
        <w:rPr>
          <w:rFonts w:hint="eastAsia"/>
        </w:rPr>
        <w:t>00</w:t>
      </w:r>
      <w:r>
        <w:rPr>
          <w:rFonts w:hint="default"/>
        </w:rPr>
        <w:t>万元</w:t>
      </w:r>
      <w:r>
        <w:rPr>
          <w:rFonts w:hint="eastAsia"/>
          <w:lang w:eastAsia="zh-CN"/>
        </w:rPr>
        <w:t>。</w:t>
      </w:r>
      <w:r>
        <w:rPr>
          <w:rFonts w:hint="eastAsia"/>
          <w:lang w:val="en-US" w:eastAsia="zh-CN"/>
        </w:rPr>
        <w:t>单家企业年度中标类项目省市合计奖励不超过400万元。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3.申报材料：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（1）项目招标公告、招标文件</w:t>
      </w:r>
      <w:r>
        <w:rPr>
          <w:rFonts w:hint="eastAsia" w:ascii="仿宋_GB2312"/>
          <w:sz w:val="32"/>
          <w:szCs w:val="32"/>
          <w:lang w:eastAsia="zh-CN"/>
        </w:rPr>
        <w:t>（</w:t>
      </w:r>
      <w:r>
        <w:rPr>
          <w:rFonts w:hint="eastAsia" w:ascii="仿宋_GB2312"/>
          <w:sz w:val="32"/>
          <w:szCs w:val="32"/>
          <w:lang w:val="en-US" w:eastAsia="zh-CN"/>
        </w:rPr>
        <w:t>关键页</w:t>
      </w:r>
      <w:r>
        <w:rPr>
          <w:rFonts w:hint="eastAsia" w:ascii="仿宋_GB2312"/>
          <w:sz w:val="32"/>
          <w:szCs w:val="32"/>
          <w:lang w:eastAsia="zh-CN"/>
        </w:rPr>
        <w:t>）</w:t>
      </w:r>
      <w:r>
        <w:rPr>
          <w:rFonts w:hint="eastAsia" w:ascii="仿宋_GB2312" w:eastAsia="仿宋_GB2312"/>
          <w:sz w:val="32"/>
          <w:szCs w:val="32"/>
        </w:rPr>
        <w:t>、中标通知书复印件；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（2）项目中标合同复印件；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（3）知识产权归属和授权使用的证明材料（如：专利证书、软件著作权、技术转让合同等）；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仿宋_GB2312"/>
          <w:sz w:val="32"/>
          <w:szCs w:val="32"/>
          <w:lang w:eastAsia="zh-CN"/>
        </w:rPr>
      </w:pPr>
      <w:r>
        <w:rPr>
          <w:rFonts w:hint="eastAsia" w:ascii="仿宋_GB2312" w:eastAsia="仿宋_GB2312"/>
          <w:sz w:val="32"/>
          <w:szCs w:val="32"/>
        </w:rPr>
        <w:t>（4）业主单位转账给中标单位历次银行转账单及记账凭证复印件</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十、</w:t>
      </w:r>
      <w:r>
        <w:rPr>
          <w:rFonts w:hint="eastAsia" w:ascii="楷体_GB2312" w:hAnsi="楷体_GB2312" w:eastAsia="楷体_GB2312" w:cs="楷体_GB2312"/>
          <w:b/>
          <w:bCs/>
          <w:sz w:val="32"/>
          <w:szCs w:val="32"/>
        </w:rPr>
        <w:t>平台投资补助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1.申报条件：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申报单位为数字经济行业龙头企业在我市注册成立、具有独立法人资格的软件产业相关企业。行业龙头企业指：上一年度《财富》杂志发布的世界500强企业，普华永道发布的全球软件百强企业，工信部发布的软件业务收入百强企业、全国电子信息百强企业、大数据50强企业和中国互联网企业100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（2）申报平台包括落地我市的公共服务云平台、大数据中心、软件创新中心，主要服务内容包括：云服务，大数据采集、清洗、存储、交换、分析，物联网公共技术服务，软件产品开发、检测等；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（3）平台服务场所独立集中，有必要的基础条件设备；拥有与业务经营范围和业务发展能力相适应的专业服务团队和技术人员；有完善的管理制度、健全的服务流程、收费标准、服务质量保证措施；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（4）申报上年度服务我市企业不少于30家。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2.补助标准：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按201</w:t>
      </w:r>
      <w:r>
        <w:rPr>
          <w:rFonts w:hint="eastAsia" w:ascii="仿宋_GB2312"/>
          <w:sz w:val="32"/>
          <w:szCs w:val="32"/>
          <w:lang w:val="en-US" w:eastAsia="zh-CN"/>
        </w:rPr>
        <w:t>9</w:t>
      </w:r>
      <w:r>
        <w:rPr>
          <w:rFonts w:hint="eastAsia" w:ascii="仿宋_GB2312" w:eastAsia="仿宋_GB2312"/>
          <w:sz w:val="32"/>
          <w:szCs w:val="32"/>
        </w:rPr>
        <w:t>年1月1日至201</w:t>
      </w:r>
      <w:r>
        <w:rPr>
          <w:rFonts w:hint="eastAsia" w:ascii="仿宋_GB2312"/>
          <w:sz w:val="32"/>
          <w:szCs w:val="32"/>
          <w:lang w:val="en-US" w:eastAsia="zh-CN"/>
        </w:rPr>
        <w:t>9</w:t>
      </w:r>
      <w:r>
        <w:rPr>
          <w:rFonts w:hint="eastAsia" w:ascii="仿宋_GB2312" w:eastAsia="仿宋_GB2312"/>
          <w:sz w:val="32"/>
          <w:szCs w:val="32"/>
        </w:rPr>
        <w:t>年12月31日内新增投资额（限于提供服务的软硬件设备）的30%给予补助，最高不超过1000万元。已享受相关政策补助的不予重复补助。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2"/>
        <w:rPr>
          <w:rFonts w:hint="eastAsia" w:ascii="仿宋_GB2312" w:eastAsia="仿宋_GB2312"/>
          <w:b/>
          <w:bCs/>
          <w:sz w:val="32"/>
          <w:szCs w:val="32"/>
        </w:rPr>
      </w:pPr>
      <w:r>
        <w:rPr>
          <w:rFonts w:hint="eastAsia" w:ascii="仿宋_GB2312" w:eastAsia="仿宋_GB2312"/>
          <w:b/>
          <w:bCs/>
          <w:sz w:val="32"/>
          <w:szCs w:val="32"/>
        </w:rPr>
        <w:t>3.申报材料：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（1）平台补助申请报告；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（2）行业龙头企业证明材料；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（3）平台服务资质（资格）相关证明文件复印件（已取得需提供）；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（4）服务场所证明材料（产权证书或租赁合同）复印件；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（5）平台相关投资清单及购置费用凭证；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（6）专职技术服务人员证明材料：平台主要负责人简历，专职技术服务人员基本情况表，提供平台专职技术服务人员学历、学位和职称复印件，以及社会保险缴交明细复印件；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rPr>
          <w:rFonts w:hint="eastAsia" w:ascii="仿宋_GB2312" w:eastAsia="仿宋_GB2312"/>
          <w:sz w:val="32"/>
          <w:szCs w:val="32"/>
        </w:rPr>
      </w:pPr>
      <w:r>
        <w:rPr>
          <w:rFonts w:hint="eastAsia" w:ascii="仿宋_GB2312" w:eastAsia="仿宋_GB2312"/>
          <w:sz w:val="32"/>
          <w:szCs w:val="32"/>
        </w:rPr>
        <w:t>（7）201</w:t>
      </w:r>
      <w:r>
        <w:rPr>
          <w:rFonts w:hint="eastAsia" w:ascii="仿宋_GB2312"/>
          <w:sz w:val="32"/>
          <w:szCs w:val="32"/>
          <w:lang w:val="en-US" w:eastAsia="zh-CN"/>
        </w:rPr>
        <w:t>9</w:t>
      </w:r>
      <w:r>
        <w:rPr>
          <w:rFonts w:hint="eastAsia" w:ascii="仿宋_GB2312" w:eastAsia="仿宋_GB2312"/>
          <w:sz w:val="32"/>
          <w:szCs w:val="32"/>
        </w:rPr>
        <w:t>年所有服务企业</w:t>
      </w:r>
      <w:r>
        <w:rPr>
          <w:rFonts w:hint="eastAsia" w:ascii="仿宋_GB2312" w:eastAsia="仿宋_GB2312"/>
          <w:sz w:val="32"/>
          <w:szCs w:val="32"/>
          <w:lang w:eastAsia="zh-CN"/>
        </w:rPr>
        <w:t>清单</w:t>
      </w:r>
      <w:r>
        <w:rPr>
          <w:rFonts w:hint="eastAsia" w:ascii="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firstLineChars="200"/>
        <w:jc w:val="both"/>
        <w:textAlignment w:val="auto"/>
        <w:outlineLvl w:val="9"/>
        <w:rPr>
          <w:rFonts w:hint="eastAsia" w:ascii="仿宋_GB2312" w:hAnsi="仿宋_GB2312" w:eastAsia="仿宋_GB2312"/>
          <w:spacing w:val="-6"/>
          <w:kern w:val="2"/>
          <w:sz w:val="32"/>
          <w:lang w:val="en-US" w:eastAsia="zh-CN"/>
        </w:rPr>
        <w:sectPr>
          <w:footerReference r:id="rId3" w:type="default"/>
          <w:footerReference r:id="rId4" w:type="even"/>
          <w:pgSz w:w="11906" w:h="16838"/>
          <w:pgMar w:top="1700" w:right="1480" w:bottom="1300" w:left="1560" w:header="851" w:footer="1361" w:gutter="0"/>
          <w:paperSrc/>
          <w:pgBorders>
            <w:top w:val="none" w:sz="0" w:space="0"/>
            <w:left w:val="none" w:sz="0" w:space="0"/>
            <w:bottom w:val="none" w:sz="0" w:space="0"/>
            <w:right w:val="none" w:sz="0" w:space="0"/>
          </w:pgBorders>
          <w:cols w:space="720" w:num="1"/>
          <w:docGrid w:type="linesAndChars" w:linePitch="579" w:charSpace="2033"/>
        </w:sectPr>
      </w:pPr>
    </w:p>
    <w:p>
      <w:pPr>
        <w:rPr>
          <w:rFonts w:hint="eastAsia" w:ascii="仿宋_GB2312"/>
          <w:sz w:val="32"/>
          <w:szCs w:val="32"/>
          <w:lang w:val="en-US" w:eastAsia="zh-CN"/>
        </w:rPr>
      </w:pPr>
      <w:r>
        <w:rPr>
          <w:rFonts w:hint="eastAsia" w:ascii="仿宋_GB2312"/>
          <w:sz w:val="32"/>
          <w:szCs w:val="32"/>
          <w:lang w:val="en-US" w:eastAsia="zh-CN"/>
        </w:rPr>
        <w:t>附件2</w:t>
      </w:r>
    </w:p>
    <w:p>
      <w:pPr>
        <w:rPr>
          <w:rFonts w:hint="default" w:ascii="仿宋_GB2312"/>
          <w:sz w:val="32"/>
          <w:szCs w:val="32"/>
          <w:lang w:val="en-US" w:eastAsia="zh-CN"/>
        </w:rPr>
      </w:pPr>
    </w:p>
    <w:p>
      <w:pPr>
        <w:snapToGrid w:val="0"/>
        <w:spacing w:line="360" w:lineRule="auto"/>
        <w:jc w:val="center"/>
        <w:rPr>
          <w:rFonts w:hint="eastAsia" w:ascii="仿宋" w:hAnsi="仿宋" w:eastAsia="仿宋" w:cs="仿宋"/>
          <w:b/>
          <w:bCs/>
          <w:color w:val="000000"/>
          <w:kern w:val="0"/>
          <w:position w:val="6"/>
          <w:sz w:val="32"/>
          <w:szCs w:val="32"/>
        </w:rPr>
      </w:pPr>
      <w:r>
        <w:rPr>
          <w:rFonts w:hint="eastAsia" w:ascii="仿宋" w:hAnsi="仿宋" w:eastAsia="仿宋" w:cs="仿宋"/>
          <w:b/>
          <w:bCs/>
          <w:sz w:val="40"/>
          <w:szCs w:val="40"/>
        </w:rPr>
        <w:t>申报项目汇总表</w:t>
      </w:r>
    </w:p>
    <w:p>
      <w:pPr>
        <w:rPr>
          <w:rFonts w:hint="eastAsia" w:ascii="宋体" w:hAnsi="宋体" w:eastAsia="宋体" w:cs="宋体"/>
          <w:bCs/>
          <w:kern w:val="0"/>
          <w:sz w:val="32"/>
          <w:szCs w:val="32"/>
          <w:u w:val="single"/>
        </w:rPr>
      </w:pPr>
      <w:r>
        <w:rPr>
          <w:rFonts w:hint="eastAsia" w:ascii="宋体" w:hAnsi="宋体" w:eastAsia="宋体" w:cs="宋体"/>
          <w:bCs/>
          <w:kern w:val="0"/>
          <w:sz w:val="32"/>
          <w:szCs w:val="32"/>
        </w:rPr>
        <w:t>主管部门单位 ：</w:t>
      </w:r>
      <w:r>
        <w:rPr>
          <w:rFonts w:hint="eastAsia" w:ascii="宋体" w:hAnsi="宋体" w:eastAsia="宋体" w:cs="宋体"/>
          <w:bCs/>
          <w:kern w:val="0"/>
          <w:sz w:val="32"/>
          <w:szCs w:val="32"/>
          <w:u w:val="single"/>
        </w:rPr>
        <w:t xml:space="preserve">                     （盖章） </w:t>
      </w:r>
    </w:p>
    <w:p>
      <w:pPr>
        <w:rPr>
          <w:rFonts w:hint="eastAsia" w:ascii="宋体" w:hAnsi="宋体" w:eastAsia="宋体" w:cs="宋体"/>
          <w:bCs/>
          <w:kern w:val="0"/>
          <w:sz w:val="32"/>
          <w:szCs w:val="32"/>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483"/>
        <w:gridCol w:w="2364"/>
        <w:gridCol w:w="2169"/>
        <w:gridCol w:w="1500"/>
        <w:gridCol w:w="2104"/>
        <w:gridCol w:w="1546"/>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75"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序号</w:t>
            </w:r>
          </w:p>
        </w:tc>
        <w:tc>
          <w:tcPr>
            <w:tcW w:w="1483"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申报单位</w:t>
            </w:r>
          </w:p>
        </w:tc>
        <w:tc>
          <w:tcPr>
            <w:tcW w:w="2364" w:type="dxa"/>
            <w:noWrap w:val="0"/>
            <w:vAlign w:val="center"/>
          </w:tcPr>
          <w:p>
            <w:pPr>
              <w:snapToGrid w:val="0"/>
              <w:spacing w:line="520" w:lineRule="exact"/>
              <w:jc w:val="center"/>
              <w:rPr>
                <w:rFonts w:hint="default" w:ascii="仿宋_GB2312" w:hAnsi="仿宋_GB2312" w:eastAsia="仿宋_GB2312" w:cs="仿宋_GB2312"/>
                <w:b/>
                <w:bCs/>
                <w:color w:val="000000"/>
                <w:kern w:val="0"/>
                <w:position w:val="6"/>
                <w:sz w:val="30"/>
                <w:szCs w:val="30"/>
                <w:lang w:val="en-US" w:eastAsia="zh-CN"/>
              </w:rPr>
            </w:pPr>
            <w:r>
              <w:rPr>
                <w:rFonts w:hint="eastAsia" w:ascii="仿宋_GB2312" w:hAnsi="仿宋_GB2312" w:cs="仿宋_GB2312"/>
                <w:b/>
                <w:bCs/>
                <w:color w:val="000000"/>
                <w:kern w:val="0"/>
                <w:position w:val="6"/>
                <w:sz w:val="30"/>
                <w:szCs w:val="30"/>
                <w:lang w:val="en-US" w:eastAsia="zh-CN"/>
              </w:rPr>
              <w:t>组织机构代码</w:t>
            </w:r>
          </w:p>
        </w:tc>
        <w:tc>
          <w:tcPr>
            <w:tcW w:w="2169"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申报项目</w:t>
            </w:r>
          </w:p>
        </w:tc>
        <w:tc>
          <w:tcPr>
            <w:tcW w:w="1500" w:type="dxa"/>
            <w:noWrap w:val="0"/>
            <w:vAlign w:val="center"/>
          </w:tcPr>
          <w:p>
            <w:pPr>
              <w:snapToGrid w:val="0"/>
              <w:spacing w:line="520" w:lineRule="exact"/>
              <w:jc w:val="center"/>
              <w:rPr>
                <w:rFonts w:hint="default" w:ascii="仿宋_GB2312" w:hAnsi="仿宋_GB2312" w:eastAsia="仿宋_GB2312" w:cs="仿宋_GB2312"/>
                <w:b/>
                <w:bCs/>
                <w:color w:val="000000"/>
                <w:kern w:val="0"/>
                <w:position w:val="6"/>
                <w:sz w:val="30"/>
                <w:szCs w:val="30"/>
                <w:lang w:val="en-US" w:eastAsia="zh-CN"/>
              </w:rPr>
            </w:pPr>
            <w:r>
              <w:rPr>
                <w:rFonts w:hint="eastAsia" w:ascii="仿宋_GB2312" w:hAnsi="仿宋_GB2312" w:cs="仿宋_GB2312"/>
                <w:b/>
                <w:bCs/>
                <w:color w:val="000000"/>
                <w:kern w:val="0"/>
                <w:position w:val="6"/>
                <w:sz w:val="30"/>
                <w:szCs w:val="30"/>
                <w:lang w:val="en-US" w:eastAsia="zh-CN"/>
              </w:rPr>
              <w:t>法人姓名</w:t>
            </w:r>
          </w:p>
        </w:tc>
        <w:tc>
          <w:tcPr>
            <w:tcW w:w="2104" w:type="dxa"/>
            <w:noWrap w:val="0"/>
            <w:vAlign w:val="center"/>
          </w:tcPr>
          <w:p>
            <w:pPr>
              <w:snapToGrid w:val="0"/>
              <w:spacing w:line="520" w:lineRule="exact"/>
              <w:jc w:val="center"/>
              <w:rPr>
                <w:rFonts w:hint="default" w:ascii="仿宋_GB2312" w:hAnsi="仿宋_GB2312" w:eastAsia="仿宋_GB2312" w:cs="仿宋_GB2312"/>
                <w:b/>
                <w:bCs/>
                <w:color w:val="000000"/>
                <w:kern w:val="0"/>
                <w:position w:val="6"/>
                <w:sz w:val="30"/>
                <w:szCs w:val="30"/>
                <w:lang w:val="en-US" w:eastAsia="zh-CN"/>
              </w:rPr>
            </w:pPr>
            <w:r>
              <w:rPr>
                <w:rFonts w:hint="eastAsia" w:ascii="仿宋_GB2312" w:hAnsi="仿宋_GB2312" w:cs="仿宋_GB2312"/>
                <w:b/>
                <w:bCs/>
                <w:color w:val="000000"/>
                <w:kern w:val="0"/>
                <w:position w:val="6"/>
                <w:sz w:val="30"/>
                <w:szCs w:val="30"/>
                <w:lang w:val="en-US" w:eastAsia="zh-CN"/>
              </w:rPr>
              <w:t>法人身份证号</w:t>
            </w:r>
          </w:p>
        </w:tc>
        <w:tc>
          <w:tcPr>
            <w:tcW w:w="1546"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联系人</w:t>
            </w:r>
          </w:p>
        </w:tc>
        <w:tc>
          <w:tcPr>
            <w:tcW w:w="1846" w:type="dxa"/>
            <w:noWrap w:val="0"/>
            <w:vAlign w:val="center"/>
          </w:tcPr>
          <w:p>
            <w:pPr>
              <w:snapToGrid w:val="0"/>
              <w:spacing w:line="520" w:lineRule="exact"/>
              <w:jc w:val="center"/>
              <w:rPr>
                <w:rFonts w:hint="eastAsia" w:ascii="仿宋_GB2312" w:hAnsi="仿宋_GB2312" w:eastAsia="仿宋_GB2312" w:cs="仿宋_GB2312"/>
                <w:b/>
                <w:bCs/>
                <w:color w:val="000000"/>
                <w:kern w:val="0"/>
                <w:position w:val="6"/>
                <w:sz w:val="30"/>
                <w:szCs w:val="30"/>
              </w:rPr>
            </w:pPr>
            <w:r>
              <w:rPr>
                <w:rFonts w:hint="eastAsia" w:ascii="仿宋_GB2312" w:hAnsi="仿宋_GB2312" w:eastAsia="仿宋_GB2312" w:cs="仿宋_GB2312"/>
                <w:b/>
                <w:bCs/>
                <w:color w:val="000000"/>
                <w:kern w:val="0"/>
                <w:position w:val="6"/>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5"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r>
              <w:rPr>
                <w:rFonts w:hint="eastAsia" w:ascii="仿宋_GB2312" w:hAnsi="仿宋_GB2312" w:eastAsia="仿宋_GB2312" w:cs="仿宋_GB2312"/>
                <w:color w:val="000000"/>
                <w:kern w:val="0"/>
                <w:position w:val="6"/>
                <w:sz w:val="30"/>
                <w:szCs w:val="30"/>
              </w:rPr>
              <w:t>1</w:t>
            </w: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69"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0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75"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r>
              <w:rPr>
                <w:rFonts w:hint="eastAsia" w:ascii="仿宋_GB2312" w:hAnsi="仿宋_GB2312" w:eastAsia="仿宋_GB2312" w:cs="仿宋_GB2312"/>
                <w:color w:val="000000"/>
                <w:kern w:val="0"/>
                <w:position w:val="6"/>
                <w:sz w:val="30"/>
                <w:szCs w:val="30"/>
              </w:rPr>
              <w:t>2</w:t>
            </w: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69"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0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5"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r>
              <w:rPr>
                <w:rFonts w:hint="eastAsia" w:ascii="仿宋_GB2312" w:hAnsi="仿宋_GB2312" w:eastAsia="仿宋_GB2312" w:cs="仿宋_GB2312"/>
                <w:color w:val="000000"/>
                <w:kern w:val="0"/>
                <w:position w:val="6"/>
                <w:sz w:val="30"/>
                <w:szCs w:val="30"/>
              </w:rPr>
              <w:t>3</w:t>
            </w: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69"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0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75"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r>
              <w:rPr>
                <w:rFonts w:hint="eastAsia" w:ascii="仿宋_GB2312" w:hAnsi="仿宋_GB2312" w:eastAsia="仿宋_GB2312" w:cs="仿宋_GB2312"/>
                <w:color w:val="000000"/>
                <w:kern w:val="0"/>
                <w:position w:val="6"/>
                <w:sz w:val="30"/>
                <w:szCs w:val="30"/>
              </w:rPr>
              <w:t>4</w:t>
            </w: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69"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0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75"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483"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36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69"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00"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2104"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5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c>
          <w:tcPr>
            <w:tcW w:w="1846" w:type="dxa"/>
            <w:noWrap w:val="0"/>
            <w:vAlign w:val="center"/>
          </w:tcPr>
          <w:p>
            <w:pPr>
              <w:snapToGrid w:val="0"/>
              <w:spacing w:line="520" w:lineRule="exact"/>
              <w:jc w:val="center"/>
              <w:rPr>
                <w:rFonts w:hint="eastAsia" w:ascii="仿宋_GB2312" w:hAnsi="仿宋_GB2312" w:eastAsia="仿宋_GB2312" w:cs="仿宋_GB2312"/>
                <w:color w:val="000000"/>
                <w:kern w:val="0"/>
                <w:position w:val="6"/>
                <w:sz w:val="30"/>
                <w:szCs w:val="30"/>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jc w:val="both"/>
        <w:textAlignment w:val="auto"/>
        <w:outlineLvl w:val="9"/>
        <w:rPr>
          <w:rFonts w:hint="eastAsia" w:ascii="仿宋_GB2312" w:hAnsi="仿宋_GB2312"/>
          <w:spacing w:val="-6"/>
          <w:kern w:val="2"/>
          <w:sz w:val="32"/>
          <w:lang w:val="en-US" w:eastAsia="zh-CN"/>
        </w:rPr>
        <w:sectPr>
          <w:pgSz w:w="16838" w:h="11906" w:orient="landscape"/>
          <w:pgMar w:top="1559" w:right="1700" w:bottom="1480" w:left="1300" w:header="851" w:footer="1361" w:gutter="0"/>
          <w:paperSrc/>
          <w:pgBorders>
            <w:top w:val="none" w:sz="0" w:space="0"/>
            <w:left w:val="none" w:sz="0" w:space="0"/>
            <w:bottom w:val="none" w:sz="0" w:space="0"/>
            <w:right w:val="none" w:sz="0" w:space="0"/>
          </w:pgBorders>
          <w:cols w:space="720" w:num="1"/>
          <w:docGrid w:type="linesAndChars" w:linePitch="591" w:charSpace="2033"/>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jc w:val="both"/>
        <w:textAlignment w:val="auto"/>
        <w:outlineLvl w:val="9"/>
        <w:rPr>
          <w:rFonts w:hint="eastAsia" w:ascii="仿宋_GB2312" w:hAnsi="仿宋_GB2312" w:eastAsia="仿宋_GB2312"/>
          <w:spacing w:val="-6"/>
          <w:kern w:val="2"/>
          <w:sz w:val="32"/>
          <w:lang w:val="en-US" w:eastAsia="zh-CN"/>
        </w:rPr>
      </w:pPr>
      <w:r>
        <w:rPr>
          <w:rFonts w:hint="eastAsia" w:ascii="仿宋_GB2312" w:hAnsi="仿宋_GB2312"/>
          <w:spacing w:val="-6"/>
          <w:kern w:val="2"/>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56"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56"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56"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56"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56"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56" w:firstLineChars="200"/>
        <w:jc w:val="both"/>
        <w:textAlignment w:val="auto"/>
        <w:outlineLvl w:val="9"/>
        <w:rPr>
          <w:rFonts w:hint="eastAsia" w:ascii="仿宋_GB2312" w:hAnsi="仿宋_GB2312" w:eastAsia="仿宋_GB2312"/>
          <w:spacing w:val="-6"/>
          <w:kern w:val="2"/>
          <w:sz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right="0" w:rightChars="0"/>
        <w:jc w:val="both"/>
        <w:textAlignment w:val="auto"/>
        <w:outlineLvl w:val="9"/>
        <w:rPr>
          <w:rFonts w:hint="eastAsia" w:ascii="仿宋_GB2312" w:hAnsi="仿宋_GB2312" w:eastAsia="仿宋_GB2312"/>
          <w:spacing w:val="-6"/>
          <w:kern w:val="2"/>
          <w:sz w:val="32"/>
          <w:lang w:val="en-US" w:eastAsia="zh-CN"/>
        </w:rPr>
      </w:pPr>
    </w:p>
    <w:tbl>
      <w:tblPr>
        <w:tblStyle w:val="5"/>
        <w:tblpPr w:leftFromText="181" w:rightFromText="181" w:vertAnchor="page" w:horzAnchor="page" w:tblpX="1396" w:tblpY="1440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08"/>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8" w:hRule="atLeast"/>
        </w:trPr>
        <w:tc>
          <w:tcPr>
            <w:tcW w:w="5308" w:type="dxa"/>
            <w:tcBorders>
              <w:top w:val="single" w:color="auto" w:sz="4" w:space="0"/>
              <w:bottom w:val="single" w:color="auto" w:sz="8" w:space="0"/>
            </w:tcBorders>
            <w:noWrap w:val="0"/>
            <w:vAlign w:val="center"/>
          </w:tcPr>
          <w:p>
            <w:pPr>
              <w:rPr>
                <w:rFonts w:hint="eastAsia" w:hAnsi="仿宋"/>
                <w:sz w:val="32"/>
                <w:szCs w:val="32"/>
                <w:lang w:eastAsia="zh-CN"/>
              </w:rPr>
            </w:pPr>
            <w:r>
              <w:rPr>
                <w:rFonts w:hint="eastAsia" w:ascii="仿宋_GB2312" w:hAnsi="方正仿宋_GBK"/>
                <w:sz w:val="28"/>
                <w:szCs w:val="28"/>
              </w:rPr>
              <w:t>　</w:t>
            </w:r>
            <w:r>
              <w:rPr>
                <w:rFonts w:hint="eastAsia" w:ascii="仿宋_GB2312" w:eastAsia="仿宋_GB2312"/>
                <w:sz w:val="28"/>
              </w:rPr>
              <w:t>福州市</w:t>
            </w:r>
            <w:r>
              <w:rPr>
                <w:rFonts w:hint="eastAsia" w:ascii="仿宋_GB2312"/>
                <w:sz w:val="28"/>
                <w:lang w:val="en-US" w:eastAsia="zh-CN"/>
              </w:rPr>
              <w:t>工业</w:t>
            </w:r>
            <w:r>
              <w:rPr>
                <w:rFonts w:hint="eastAsia" w:ascii="仿宋_GB2312" w:eastAsia="仿宋_GB2312"/>
                <w:sz w:val="28"/>
              </w:rPr>
              <w:t>和信息化</w:t>
            </w:r>
            <w:r>
              <w:rPr>
                <w:rFonts w:hint="eastAsia" w:ascii="仿宋_GB2312"/>
                <w:sz w:val="28"/>
                <w:lang w:val="en-US" w:eastAsia="zh-CN"/>
              </w:rPr>
              <w:t>局办公室</w:t>
            </w:r>
          </w:p>
        </w:tc>
        <w:tc>
          <w:tcPr>
            <w:tcW w:w="3552" w:type="dxa"/>
            <w:tcBorders>
              <w:top w:val="single" w:color="auto" w:sz="4" w:space="0"/>
              <w:bottom w:val="single" w:color="auto" w:sz="8" w:space="0"/>
            </w:tcBorders>
            <w:noWrap w:val="0"/>
            <w:vAlign w:val="center"/>
          </w:tcPr>
          <w:p>
            <w:pPr>
              <w:wordWrap/>
              <w:ind w:left="0" w:leftChars="0" w:right="0" w:firstLine="0" w:firstLineChars="0"/>
              <w:jc w:val="center"/>
              <w:rPr>
                <w:rFonts w:hint="eastAsia" w:ascii="仿宋_GB2312" w:hAnsi="方正仿宋_GBK"/>
              </w:rPr>
            </w:pPr>
            <w:r>
              <w:rPr>
                <w:rFonts w:hint="eastAsia" w:ascii="仿宋_GB2312" w:hAnsi="方正仿宋_GBK"/>
                <w:sz w:val="28"/>
                <w:szCs w:val="28"/>
                <w:lang w:val="en-US" w:eastAsia="zh-CN"/>
              </w:rPr>
              <w:t xml:space="preserve">    2020年3月31日</w:t>
            </w:r>
            <w:r>
              <w:rPr>
                <w:rFonts w:hint="eastAsia" w:ascii="仿宋_GB2312" w:hAnsi="方正仿宋_GBK"/>
                <w:sz w:val="28"/>
                <w:szCs w:val="28"/>
              </w:rPr>
              <w:t>印发</w:t>
            </w:r>
            <w:r>
              <w:rPr>
                <w:rFonts w:hint="eastAsia" w:ascii="仿宋_GB2312" w:hAnsi="方正仿宋_GBK"/>
              </w:rPr>
              <w:t>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0" w:firstLineChars="0"/>
        <w:jc w:val="both"/>
        <w:textAlignment w:val="auto"/>
        <w:outlineLvl w:val="9"/>
        <w:rPr>
          <w:rFonts w:hint="eastAsia"/>
          <w:lang w:val="en-US" w:eastAsia="zh-CN"/>
        </w:rPr>
      </w:pPr>
    </w:p>
    <w:p>
      <w:pPr>
        <w:spacing w:line="600" w:lineRule="exact"/>
        <w:rPr>
          <w:rFonts w:hint="eastAsia"/>
          <w:lang w:val="en-US" w:eastAsia="zh-CN"/>
        </w:rPr>
      </w:pPr>
    </w:p>
    <w:sectPr>
      <w:pgSz w:w="11906" w:h="16838"/>
      <w:pgMar w:top="1701" w:right="1480" w:bottom="1298" w:left="1559" w:header="851" w:footer="1361" w:gutter="0"/>
      <w:paperSrc/>
      <w:pgBorders>
        <w:top w:val="none" w:sz="0" w:space="0"/>
        <w:left w:val="none" w:sz="0" w:space="0"/>
        <w:bottom w:val="none" w:sz="0" w:space="0"/>
        <w:right w:val="none" w:sz="0" w:space="0"/>
      </w:pgBorders>
      <w:cols w:space="720" w:num="1"/>
      <w:docGrid w:type="linesAndChars" w:linePitch="591" w:charSpace="41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jc w:val="right"/>
      <w:rPr>
        <w:rFonts w:hint="eastAsia" w:ascii="楷体_GB2312" w:eastAsia="楷体_GB2312"/>
        <w:sz w:val="28"/>
      </w:rPr>
    </w:pPr>
    <w:r>
      <w:rPr>
        <w:rStyle w:val="7"/>
        <w:rFonts w:hint="eastAsia" w:ascii="楷体_GB2312" w:eastAsia="楷体_GB2312"/>
        <w:sz w:val="28"/>
      </w:rPr>
      <w:t>—</w:t>
    </w:r>
    <w:r>
      <w:rPr>
        <w:rFonts w:hint="eastAsia" w:ascii="宋体" w:hAnsi="宋体" w:eastAsia="宋体" w:cs="宋体"/>
        <w:sz w:val="28"/>
      </w:rPr>
      <w:fldChar w:fldCharType="begin"/>
    </w:r>
    <w:r>
      <w:rPr>
        <w:rStyle w:val="7"/>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7"/>
        <w:rFonts w:hint="eastAsia" w:ascii="宋体" w:hAnsi="宋体" w:eastAsia="宋体" w:cs="宋体"/>
        <w:sz w:val="28"/>
      </w:rPr>
      <w:t>1</w:t>
    </w:r>
    <w:r>
      <w:rPr>
        <w:rFonts w:hint="eastAsia" w:ascii="宋体" w:hAnsi="宋体" w:eastAsia="宋体" w:cs="宋体"/>
        <w:sz w:val="28"/>
      </w:rPr>
      <w:fldChar w:fldCharType="end"/>
    </w:r>
    <w:r>
      <w:rPr>
        <w:rStyle w:val="7"/>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68" w:firstLineChars="100"/>
      <w:rPr>
        <w:rFonts w:hint="eastAsia" w:ascii="楷体_GB2312" w:eastAsia="楷体_GB2312"/>
        <w:sz w:val="28"/>
      </w:rPr>
    </w:pPr>
    <w:r>
      <w:rPr>
        <w:rStyle w:val="7"/>
        <w:rFonts w:hint="eastAsia" w:ascii="楷体_GB2312" w:eastAsia="楷体_GB2312"/>
        <w:sz w:val="28"/>
      </w:rPr>
      <w:t>—</w:t>
    </w:r>
    <w:r>
      <w:rPr>
        <w:rFonts w:hint="eastAsia" w:ascii="宋体" w:hAnsi="宋体" w:eastAsia="宋体" w:cs="宋体"/>
        <w:sz w:val="28"/>
      </w:rPr>
      <w:fldChar w:fldCharType="begin"/>
    </w:r>
    <w:r>
      <w:rPr>
        <w:rStyle w:val="7"/>
        <w:rFonts w:hint="eastAsia" w:ascii="宋体" w:hAnsi="宋体" w:eastAsia="宋体" w:cs="宋体"/>
        <w:sz w:val="28"/>
      </w:rPr>
      <w:instrText xml:space="preserve"> PAGE </w:instrText>
    </w:r>
    <w:r>
      <w:rPr>
        <w:rFonts w:hint="eastAsia" w:ascii="宋体" w:hAnsi="宋体" w:eastAsia="宋体" w:cs="宋体"/>
        <w:sz w:val="28"/>
      </w:rPr>
      <w:fldChar w:fldCharType="separate"/>
    </w:r>
    <w:r>
      <w:rPr>
        <w:rStyle w:val="7"/>
        <w:rFonts w:hint="eastAsia" w:ascii="宋体" w:hAnsi="宋体" w:eastAsia="宋体" w:cs="宋体"/>
        <w:sz w:val="28"/>
      </w:rPr>
      <w:t>2</w:t>
    </w:r>
    <w:r>
      <w:rPr>
        <w:rFonts w:hint="eastAsia" w:ascii="宋体" w:hAnsi="宋体" w:eastAsia="宋体" w:cs="宋体"/>
        <w:sz w:val="28"/>
      </w:rPr>
      <w:fldChar w:fldCharType="end"/>
    </w:r>
    <w:r>
      <w:rPr>
        <w:rStyle w:val="7"/>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11AC54"/>
    <w:multiLevelType w:val="singleLevel"/>
    <w:tmpl w:val="DF11AC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60"/>
  <w:evenAndOddHeaders w:val="1"/>
  <w:drawingGridHorizontalSpacing w:val="164"/>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 w:name="OpenTime" w:val="2020-03-31 09:50:41"/>
    <w:docVar w:name="SessionId" w:val="LtpaToken=AAECAzVFODJBMUZFNUU4MzhDNUVDTj1VMDAzODIyL089RlVaSE9V3qxVP2BzYP90wi9YIpKRLCY+KFs="/>
  </w:docVars>
  <w:rsids>
    <w:rsidRoot w:val="00172A27"/>
    <w:rsid w:val="02845AC8"/>
    <w:rsid w:val="05CF322A"/>
    <w:rsid w:val="08B86120"/>
    <w:rsid w:val="122F5F51"/>
    <w:rsid w:val="15781EDF"/>
    <w:rsid w:val="16B92C51"/>
    <w:rsid w:val="1B345192"/>
    <w:rsid w:val="1DA52C8A"/>
    <w:rsid w:val="287631B7"/>
    <w:rsid w:val="2B685CF6"/>
    <w:rsid w:val="2BF25105"/>
    <w:rsid w:val="2D9F5134"/>
    <w:rsid w:val="342E2A8D"/>
    <w:rsid w:val="344E029E"/>
    <w:rsid w:val="36231DD6"/>
    <w:rsid w:val="39E7604E"/>
    <w:rsid w:val="3A6E34CC"/>
    <w:rsid w:val="3B9B06E2"/>
    <w:rsid w:val="3BCB1C87"/>
    <w:rsid w:val="418C137B"/>
    <w:rsid w:val="4448738A"/>
    <w:rsid w:val="445E6C1A"/>
    <w:rsid w:val="4A8F1371"/>
    <w:rsid w:val="4B315418"/>
    <w:rsid w:val="535143BC"/>
    <w:rsid w:val="53606972"/>
    <w:rsid w:val="544971FA"/>
    <w:rsid w:val="54A864F4"/>
    <w:rsid w:val="583F5B20"/>
    <w:rsid w:val="5BB96DFA"/>
    <w:rsid w:val="5D332C17"/>
    <w:rsid w:val="5E776FE7"/>
    <w:rsid w:val="60412C33"/>
    <w:rsid w:val="65E625DE"/>
    <w:rsid w:val="694865FA"/>
    <w:rsid w:val="6A642389"/>
    <w:rsid w:val="6A9C3222"/>
    <w:rsid w:val="6B751BD7"/>
    <w:rsid w:val="6C071927"/>
    <w:rsid w:val="71FA7A79"/>
    <w:rsid w:val="7512465B"/>
    <w:rsid w:val="788C4F6E"/>
    <w:rsid w:val="78E32D44"/>
    <w:rsid w:val="7C4F2292"/>
    <w:rsid w:val="7D744149"/>
    <w:rsid w:val="7E445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character" w:default="1" w:styleId="6">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basedOn w:val="6"/>
    <w:uiPriority w:val="0"/>
  </w:style>
  <w:style w:type="character" w:styleId="8">
    <w:name w:val="line number"/>
    <w:basedOn w:val="6"/>
    <w:uiPriority w:val="0"/>
  </w:style>
  <w:style w:type="paragraph" w:customStyle="1" w:styleId="9">
    <w:name w:val="经委正文"/>
    <w:basedOn w:val="1"/>
    <w:qFormat/>
    <w:uiPriority w:val="0"/>
    <w:pPr>
      <w:overflowPunct w:val="0"/>
      <w:topLinePunct/>
      <w:adjustRightInd w:val="0"/>
      <w:ind w:firstLine="200" w:firstLineChars="200"/>
      <w:jc w:val="both"/>
    </w:pPr>
    <w:rPr>
      <w:rFonts w:ascii="仿宋_GB2312" w:hAnsi="宋体" w:cs="宋体"/>
      <w:color w:val="000000"/>
      <w:position w:val="6"/>
      <w:szCs w:val="30"/>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批复.wpt</Template>
  <Company>abc</Company>
  <Pages>15</Pages>
  <Words>4611</Words>
  <Characters>5073</Characters>
  <Lines>0</Lines>
  <Paragraphs>0</Paragraphs>
  <TotalTime>1</TotalTime>
  <ScaleCrop>false</ScaleCrop>
  <LinksUpToDate>false</LinksUpToDate>
  <CharactersWithSpaces>5223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2012-04-17T18:31:23Z</dcterms:created>
  <dc:creator>pc</dc:creator>
  <cp:lastModifiedBy>lenovo</cp:lastModifiedBy>
  <cp:lastPrinted>2020-03-31T01:51:10Z</cp:lastPrinted>
  <dcterms:modified xsi:type="dcterms:W3CDTF">2020-03-31T08:34:19Z</dcterms:modified>
  <dc:title>特　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