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eastAsia="zh-CN"/>
        </w:rPr>
        <w:t>2024年</w:t>
      </w:r>
      <w:r>
        <w:rPr>
          <w:rFonts w:hint="eastAsia" w:ascii="方正小标宋简体" w:eastAsia="方正小标宋简体"/>
          <w:sz w:val="84"/>
          <w:szCs w:val="84"/>
        </w:rPr>
        <w:t>度</w:t>
      </w:r>
    </w:p>
    <w:p>
      <w:pPr>
        <w:widowControl/>
        <w:jc w:val="center"/>
        <w:rPr>
          <w:rFonts w:asciiTheme="minorEastAsia" w:hAnsiTheme="minorEastAsia"/>
          <w:sz w:val="52"/>
          <w:szCs w:val="52"/>
        </w:rPr>
      </w:pPr>
      <w:r>
        <w:rPr>
          <w:rFonts w:hint="eastAsia" w:ascii="方正小标宋简体" w:eastAsia="方正小标宋简体"/>
          <w:sz w:val="52"/>
          <w:szCs w:val="52"/>
        </w:rPr>
        <w:t>鼓楼区商务综合行政执法大队</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sdt>
      <w:sdtPr>
        <w:rPr>
          <w:rFonts w:ascii="宋体" w:hAnsi="宋体" w:eastAsia="宋体" w:cstheme="minorBidi"/>
          <w:kern w:val="2"/>
          <w:sz w:val="21"/>
          <w:szCs w:val="22"/>
          <w:lang w:val="en-US" w:eastAsia="zh-CN" w:bidi="ar-SA"/>
        </w:rPr>
        <w:id w:val="147477668"/>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rPr>
              <w:rFonts w:hint="eastAsia" w:ascii="方正小标宋简体" w:eastAsia="方正小标宋简体" w:cs="Times New Roman" w:hAnsiTheme="majorEastAsia"/>
              <w:kern w:val="0"/>
              <w:sz w:val="44"/>
              <w:szCs w:val="20"/>
              <w:lang w:val="en-US" w:eastAsia="zh-CN" w:bidi="ar-SA"/>
            </w:rPr>
          </w:pPr>
          <w:bookmarkStart w:id="0" w:name="_Toc7115"/>
          <w:r>
            <w:rPr>
              <w:rFonts w:hint="eastAsia" w:ascii="方正小标宋简体" w:eastAsia="方正小标宋简体" w:cs="Times New Roman" w:hAnsiTheme="majorEastAsia"/>
              <w:kern w:val="0"/>
              <w:sz w:val="44"/>
              <w:szCs w:val="20"/>
              <w:lang w:val="en-US" w:eastAsia="zh-CN" w:bidi="ar-SA"/>
            </w:rPr>
            <w:t>目  录</w:t>
          </w:r>
        </w:p>
        <w:p>
          <w:pPr>
            <w:pStyle w:val="20"/>
            <w:tabs>
              <w:tab w:val="right" w:leader="dot" w:pos="8306"/>
            </w:tabs>
          </w:pPr>
          <w:r>
            <w:fldChar w:fldCharType="begin"/>
          </w:r>
          <w:r>
            <w:instrText xml:space="preserve">TOC \o "1-3" \h \u </w:instrText>
          </w:r>
          <w:r>
            <w:fldChar w:fldCharType="separate"/>
          </w:r>
        </w:p>
        <w:p>
          <w:pPr>
            <w:pStyle w:val="20"/>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_Toc30851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第一部分 部门概况</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_Toc30851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4</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_Toc9790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一、部门主要职责</w:t>
          </w:r>
          <w:bookmarkStart w:id="33" w:name="_GoBack"/>
          <w:bookmarkEnd w:id="33"/>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_Toc9790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_Toc19322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二、部门预算单位构成</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_Toc19322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_Toc170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三、部门主要工作任务</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_Toc170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0"/>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_Toc8667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第二部分  2024年度部门预算表</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_Toc8667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6</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_Toc11703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一、收支预算总表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_Toc11703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7</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_Toc26313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二、收入预算总表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_Toc26313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8</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_Toc25809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三、支出预算总表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_Toc25809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9</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_Toc29041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四、财政拨款收支预算总表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_Toc29041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10</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_Toc28702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五、一般公共预算拨款支出预算表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_Toc28702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_Toc7264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六、政府性基金预算拨款支出预算表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_Toc7264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_Toc7403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七、国有资本经营预算拨款支出预算表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_Toc7403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_Toc20675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八、一般公共预算支出经济分类情况表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_Toc20675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_Toc1155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九、一般公共预算基本支出经济分类情况表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_Toc1155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13</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_Toc27740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十、一般公共预算“三公”经费支出预算表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_Toc27740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17</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_Toc6323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十一、部门专项资金管理清单目录</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_Toc6323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18</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0"/>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_Toc24693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第三部分  2024年度部门预算情况说明</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_Toc24693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19</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_Toc31118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一、预算收支总体情况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_Toc31118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20</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_Toc6424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二、一般公共预算拨款支出情况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_Toc6424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20</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_Toc1579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三、政府性基金预算拨款支出情况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_Toc1579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_Toc30545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四、国有资本经营预算拨款支出情况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_Toc30545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_Toc26737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五、一般公共预算拨款基本支出情况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_Toc26737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_Toc15949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六、一般公共预算“三公”经费支出情况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_Toc15949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_Toc25470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七、预算绩效目标情况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_Toc25470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1"/>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_Toc29523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八、其他重要事项说明</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_Toc29523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20"/>
            <w:tabs>
              <w:tab w:val="right" w:leader="dot" w:pos="8306"/>
            </w:tabs>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_Toc24804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第四部分  名词解释</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_Toc24804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24</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r>
            <w:fldChar w:fldCharType="end"/>
          </w:r>
        </w:p>
      </w:sdtContent>
    </w:sdt>
    <w:bookmarkEnd w:id="0"/>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outlineLvl w:val="0"/>
        <w:rPr>
          <w:rFonts w:ascii="黑体" w:hAnsi="黑体" w:eastAsia="黑体"/>
          <w:sz w:val="56"/>
          <w:szCs w:val="36"/>
          <w:lang w:eastAsia="zh-CN"/>
        </w:rPr>
      </w:pPr>
      <w:bookmarkStart w:id="1" w:name="_Toc30851"/>
      <w:r>
        <w:rPr>
          <w:rFonts w:hint="eastAsia" w:ascii="黑体" w:hAnsi="黑体" w:eastAsia="黑体"/>
          <w:sz w:val="56"/>
          <w:szCs w:val="36"/>
          <w:lang w:eastAsia="zh-CN"/>
        </w:rPr>
        <w:t>第一部分</w:t>
      </w:r>
      <w:r>
        <w:rPr>
          <w:rFonts w:hint="eastAsia" w:ascii="黑体" w:hAnsi="黑体" w:eastAsia="黑体"/>
          <w:sz w:val="56"/>
          <w:szCs w:val="36"/>
          <w:lang w:val="en-US" w:eastAsia="zh-CN"/>
        </w:rPr>
        <w:t xml:space="preserve"> </w:t>
      </w:r>
      <w:r>
        <w:rPr>
          <w:rFonts w:hint="eastAsia" w:ascii="黑体" w:hAnsi="黑体" w:eastAsia="黑体"/>
          <w:sz w:val="56"/>
          <w:szCs w:val="36"/>
          <w:lang w:eastAsia="zh-CN"/>
        </w:rPr>
        <w:t>部门概况</w:t>
      </w:r>
      <w:bookmarkEnd w:id="1"/>
    </w:p>
    <w:p>
      <w:pPr>
        <w:pStyle w:val="3"/>
        <w:rPr>
          <w:rFonts w:ascii="黑体" w:hAnsi="黑体" w:eastAsia="黑体"/>
          <w:sz w:val="36"/>
          <w:szCs w:val="36"/>
          <w:lang w:eastAsia="zh-CN"/>
        </w:rPr>
      </w:pPr>
    </w:p>
    <w:p>
      <w:pPr>
        <w:pStyle w:val="3"/>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3"/>
        <w:outlineLvl w:val="1"/>
        <w:rPr>
          <w:rFonts w:ascii="黑体" w:hAnsi="黑体" w:eastAsia="黑体" w:cstheme="minorBidi"/>
          <w:kern w:val="2"/>
          <w:sz w:val="32"/>
          <w:szCs w:val="32"/>
          <w:lang w:eastAsia="zh-CN"/>
        </w:rPr>
      </w:pPr>
      <w:bookmarkStart w:id="2" w:name="_Toc9790"/>
      <w:r>
        <w:rPr>
          <w:rFonts w:hint="eastAsia" w:ascii="黑体" w:hAnsi="黑体" w:eastAsia="黑体" w:cstheme="minorBidi"/>
          <w:kern w:val="2"/>
          <w:sz w:val="32"/>
          <w:szCs w:val="32"/>
          <w:lang w:eastAsia="zh-CN"/>
        </w:rPr>
        <w:t>一、部门主要职责</w:t>
      </w:r>
      <w:bookmarkEnd w:id="2"/>
    </w:p>
    <w:p>
      <w:pPr>
        <w:pStyle w:val="3"/>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sz w:val="32"/>
        </w:rPr>
        <w:t>鼓楼区商务综合行政执法大队的主要职责是：</w:t>
      </w:r>
      <w:r>
        <w:rPr>
          <w:rFonts w:hint="eastAsia" w:ascii="仿宋" w:hAnsi="仿宋" w:eastAsia="仿宋" w:cs="仿宋"/>
          <w:sz w:val="32"/>
          <w:szCs w:val="32"/>
        </w:rPr>
        <w:t>认真执行国家法律、法规、条例办法及相关政策，提高依法行政的理论和业务水平，确保相关商务行政法规、条例办法得以全面、准确地实施；依据国家相关法律、法规，负责整顿和规范市场经济秩序，协调开展专项整治行动，对执行情况进行监督和规范化管理，支持、配合相关职能部门净化市场环境；做好社会公众举报投诉、咨询的受理、解答、处理、上报和反馈工作；做好执法案卷的整理、保管、存档工作。</w:t>
      </w:r>
    </w:p>
    <w:p>
      <w:pPr>
        <w:pStyle w:val="3"/>
        <w:outlineLvl w:val="1"/>
        <w:rPr>
          <w:rFonts w:ascii="黑体" w:hAnsi="黑体" w:eastAsia="黑体" w:cstheme="minorBidi"/>
          <w:kern w:val="2"/>
          <w:sz w:val="32"/>
          <w:szCs w:val="32"/>
          <w:lang w:eastAsia="zh-CN"/>
        </w:rPr>
      </w:pPr>
      <w:bookmarkStart w:id="3" w:name="_Toc19322"/>
      <w:r>
        <w:rPr>
          <w:rFonts w:hint="eastAsia" w:ascii="黑体" w:hAnsi="黑体" w:eastAsia="黑体" w:cstheme="minorBidi"/>
          <w:kern w:val="2"/>
          <w:sz w:val="32"/>
          <w:szCs w:val="32"/>
          <w:lang w:eastAsia="zh-CN"/>
        </w:rPr>
        <w:t>二、部门预算单位构成</w:t>
      </w:r>
      <w:bookmarkEnd w:id="3"/>
    </w:p>
    <w:p>
      <w:pPr>
        <w:tabs>
          <w:tab w:val="left" w:pos="7513"/>
        </w:tabs>
        <w:adjustRightInd w:val="0"/>
        <w:snapToGrid w:val="0"/>
        <w:spacing w:line="600" w:lineRule="exact"/>
        <w:ind w:firstLine="640" w:firstLineChars="200"/>
        <w:rPr>
          <w:rFonts w:ascii="仿宋" w:hAnsi="仿宋" w:eastAsia="仿宋"/>
          <w:sz w:val="32"/>
        </w:rPr>
      </w:pPr>
      <w:r>
        <w:rPr>
          <w:rFonts w:hint="eastAsia" w:ascii="仿宋" w:hAnsi="仿宋" w:eastAsia="仿宋"/>
          <w:sz w:val="32"/>
        </w:rPr>
        <w:t>从预算单位构成看，鼓楼区综合行政执法大队包括1个处（科）室及0个下属单位，其中：列入</w:t>
      </w:r>
      <w:r>
        <w:rPr>
          <w:rFonts w:hint="eastAsia" w:ascii="仿宋" w:hAnsi="仿宋" w:eastAsia="仿宋"/>
          <w:sz w:val="32"/>
          <w:lang w:eastAsia="zh-CN"/>
        </w:rPr>
        <w:t>2024年</w:t>
      </w:r>
      <w:r>
        <w:rPr>
          <w:rFonts w:hint="eastAsia" w:ascii="仿宋" w:hAnsi="仿宋" w:eastAsia="仿宋"/>
          <w:sz w:val="32"/>
        </w:rPr>
        <w:t>部门预算编制范围的单位详细情况见下表</w:t>
      </w:r>
      <w:r>
        <w:rPr>
          <w:rFonts w:ascii="仿宋" w:hAnsi="仿宋" w:eastAsia="仿宋"/>
          <w:sz w:val="32"/>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60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noWrap w:val="0"/>
            <w:vAlign w:val="top"/>
          </w:tcPr>
          <w:p>
            <w:pPr>
              <w:tabs>
                <w:tab w:val="left" w:pos="7513"/>
              </w:tabs>
              <w:adjustRightInd w:val="0"/>
              <w:snapToGrid w:val="0"/>
              <w:spacing w:line="600" w:lineRule="exact"/>
              <w:jc w:val="center"/>
              <w:rPr>
                <w:rFonts w:ascii="仿宋" w:hAnsi="仿宋" w:eastAsia="仿宋"/>
                <w:sz w:val="32"/>
              </w:rPr>
            </w:pPr>
            <w:r>
              <w:rPr>
                <w:rFonts w:hint="eastAsia" w:ascii="仿宋" w:hAnsi="仿宋" w:eastAsia="仿宋"/>
                <w:sz w:val="32"/>
              </w:rPr>
              <w:t>单位名称</w:t>
            </w:r>
          </w:p>
        </w:tc>
        <w:tc>
          <w:tcPr>
            <w:tcW w:w="1600" w:type="dxa"/>
            <w:noWrap w:val="0"/>
            <w:vAlign w:val="top"/>
          </w:tcPr>
          <w:p>
            <w:pPr>
              <w:tabs>
                <w:tab w:val="left" w:pos="7513"/>
              </w:tabs>
              <w:adjustRightInd w:val="0"/>
              <w:snapToGrid w:val="0"/>
              <w:spacing w:line="600" w:lineRule="exact"/>
              <w:jc w:val="center"/>
              <w:rPr>
                <w:rFonts w:ascii="仿宋" w:hAnsi="仿宋" w:eastAsia="仿宋"/>
                <w:sz w:val="32"/>
              </w:rPr>
            </w:pPr>
            <w:r>
              <w:rPr>
                <w:rFonts w:hint="eastAsia" w:ascii="仿宋" w:hAnsi="仿宋" w:eastAsia="仿宋"/>
                <w:sz w:val="32"/>
              </w:rPr>
              <w:t>经费性质</w:t>
            </w:r>
          </w:p>
        </w:tc>
        <w:tc>
          <w:tcPr>
            <w:tcW w:w="2131" w:type="dxa"/>
            <w:noWrap w:val="0"/>
            <w:vAlign w:val="top"/>
          </w:tcPr>
          <w:p>
            <w:pPr>
              <w:tabs>
                <w:tab w:val="left" w:pos="7513"/>
              </w:tabs>
              <w:adjustRightInd w:val="0"/>
              <w:snapToGrid w:val="0"/>
              <w:spacing w:line="600" w:lineRule="exact"/>
              <w:jc w:val="center"/>
              <w:rPr>
                <w:rFonts w:ascii="仿宋" w:hAnsi="仿宋" w:eastAsia="仿宋"/>
                <w:sz w:val="32"/>
              </w:rPr>
            </w:pPr>
            <w:r>
              <w:rPr>
                <w:rFonts w:hint="eastAsia" w:ascii="仿宋" w:hAnsi="仿宋" w:eastAsia="仿宋"/>
                <w:sz w:val="32"/>
              </w:rPr>
              <w:t>人员编制数</w:t>
            </w:r>
          </w:p>
        </w:tc>
        <w:tc>
          <w:tcPr>
            <w:tcW w:w="2131" w:type="dxa"/>
            <w:noWrap w:val="0"/>
            <w:vAlign w:val="top"/>
          </w:tcPr>
          <w:p>
            <w:pPr>
              <w:tabs>
                <w:tab w:val="left" w:pos="7513"/>
              </w:tabs>
              <w:adjustRightInd w:val="0"/>
              <w:snapToGrid w:val="0"/>
              <w:spacing w:line="600" w:lineRule="exact"/>
              <w:jc w:val="center"/>
              <w:rPr>
                <w:rFonts w:ascii="仿宋" w:hAnsi="仿宋" w:eastAsia="仿宋"/>
                <w:sz w:val="32"/>
              </w:rPr>
            </w:pPr>
            <w:r>
              <w:rPr>
                <w:rFonts w:hint="eastAsia" w:ascii="仿宋" w:hAnsi="仿宋" w:eastAsia="仿宋"/>
                <w:sz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0" w:type="dxa"/>
            <w:noWrap w:val="0"/>
            <w:vAlign w:val="top"/>
          </w:tcPr>
          <w:p>
            <w:pPr>
              <w:tabs>
                <w:tab w:val="left" w:pos="7513"/>
              </w:tabs>
              <w:adjustRightInd w:val="0"/>
              <w:snapToGrid w:val="0"/>
              <w:spacing w:line="600" w:lineRule="exact"/>
              <w:jc w:val="left"/>
              <w:rPr>
                <w:rFonts w:ascii="仿宋" w:hAnsi="仿宋" w:eastAsia="仿宋"/>
                <w:sz w:val="28"/>
              </w:rPr>
            </w:pPr>
            <w:r>
              <w:rPr>
                <w:rFonts w:hint="eastAsia" w:ascii="仿宋" w:hAnsi="仿宋" w:eastAsia="仿宋"/>
                <w:sz w:val="28"/>
              </w:rPr>
              <w:t>鼓楼区商务综合行政执法大队  </w:t>
            </w:r>
          </w:p>
        </w:tc>
        <w:tc>
          <w:tcPr>
            <w:tcW w:w="1600" w:type="dxa"/>
            <w:noWrap w:val="0"/>
            <w:vAlign w:val="top"/>
          </w:tcPr>
          <w:p>
            <w:pPr>
              <w:tabs>
                <w:tab w:val="left" w:pos="7513"/>
              </w:tabs>
              <w:adjustRightInd w:val="0"/>
              <w:snapToGrid w:val="0"/>
              <w:spacing w:line="600" w:lineRule="exact"/>
              <w:rPr>
                <w:rFonts w:ascii="仿宋" w:hAnsi="仿宋" w:eastAsia="仿宋"/>
                <w:sz w:val="28"/>
              </w:rPr>
            </w:pPr>
            <w:r>
              <w:rPr>
                <w:rFonts w:hint="eastAsia" w:ascii="仿宋" w:hAnsi="仿宋" w:eastAsia="仿宋"/>
                <w:sz w:val="28"/>
              </w:rPr>
              <w:t>财政拨款</w:t>
            </w:r>
          </w:p>
        </w:tc>
        <w:tc>
          <w:tcPr>
            <w:tcW w:w="2131" w:type="dxa"/>
            <w:noWrap w:val="0"/>
            <w:vAlign w:val="top"/>
          </w:tcPr>
          <w:p>
            <w:pPr>
              <w:tabs>
                <w:tab w:val="left" w:pos="7513"/>
              </w:tabs>
              <w:adjustRightInd w:val="0"/>
              <w:snapToGrid w:val="0"/>
              <w:spacing w:line="600" w:lineRule="exact"/>
              <w:jc w:val="center"/>
              <w:rPr>
                <w:rFonts w:ascii="仿宋" w:hAnsi="仿宋" w:eastAsia="仿宋"/>
                <w:sz w:val="28"/>
              </w:rPr>
            </w:pPr>
            <w:r>
              <w:rPr>
                <w:rFonts w:hint="eastAsia" w:ascii="仿宋" w:hAnsi="仿宋" w:eastAsia="仿宋"/>
                <w:sz w:val="28"/>
              </w:rPr>
              <w:t>10</w:t>
            </w:r>
          </w:p>
        </w:tc>
        <w:tc>
          <w:tcPr>
            <w:tcW w:w="2131" w:type="dxa"/>
            <w:noWrap w:val="0"/>
            <w:vAlign w:val="top"/>
          </w:tcPr>
          <w:p>
            <w:pPr>
              <w:tabs>
                <w:tab w:val="left" w:pos="7513"/>
              </w:tabs>
              <w:adjustRightInd w:val="0"/>
              <w:snapToGrid w:val="0"/>
              <w:spacing w:line="600" w:lineRule="exact"/>
              <w:jc w:val="center"/>
              <w:rPr>
                <w:rFonts w:hint="eastAsia" w:ascii="仿宋" w:hAnsi="仿宋" w:eastAsia="仿宋"/>
                <w:sz w:val="28"/>
                <w:lang w:val="en-US" w:eastAsia="zh-CN"/>
              </w:rPr>
            </w:pPr>
            <w:r>
              <w:rPr>
                <w:rFonts w:hint="eastAsia" w:ascii="仿宋" w:hAnsi="仿宋" w:eastAsia="仿宋"/>
                <w:sz w:val="28"/>
                <w:lang w:val="en-US" w:eastAsia="zh-CN"/>
              </w:rPr>
              <w:t>7</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outlineLvl w:val="1"/>
        <w:rPr>
          <w:rFonts w:ascii="黑体" w:hAnsi="黑体" w:eastAsia="黑体"/>
          <w:sz w:val="32"/>
          <w:szCs w:val="32"/>
        </w:rPr>
      </w:pPr>
      <w:bookmarkStart w:id="4" w:name="_Toc170"/>
      <w:r>
        <w:rPr>
          <w:rFonts w:hint="eastAsia" w:ascii="黑体" w:hAnsi="黑体" w:eastAsia="黑体"/>
          <w:sz w:val="32"/>
          <w:szCs w:val="32"/>
        </w:rPr>
        <w:t>三、部门主要工作任务</w:t>
      </w:r>
      <w:bookmarkEnd w:id="4"/>
    </w:p>
    <w:p>
      <w:pPr>
        <w:spacing w:line="540" w:lineRule="exact"/>
        <w:ind w:firstLine="640" w:firstLineChars="200"/>
        <w:rPr>
          <w:rFonts w:hint="eastAsia" w:ascii="黑体" w:hAnsi="黑体" w:eastAsia="仿宋"/>
          <w:sz w:val="36"/>
          <w:szCs w:val="36"/>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lang w:eastAsia="zh-CN"/>
        </w:rPr>
        <w:t>2024年</w:t>
      </w:r>
      <w:r>
        <w:rPr>
          <w:rFonts w:hint="eastAsia" w:ascii="仿宋" w:hAnsi="仿宋" w:eastAsia="仿宋"/>
          <w:sz w:val="32"/>
        </w:rPr>
        <w:t>，鼓楼区商务综合行政执法大队部门主要任务是：</w:t>
      </w:r>
      <w:r>
        <w:rPr>
          <w:rFonts w:hint="eastAsia" w:ascii="仿宋" w:hAnsi="仿宋" w:eastAsia="仿宋"/>
          <w:sz w:val="32"/>
          <w:lang w:eastAsia="zh-CN"/>
        </w:rPr>
        <w:t>加强行业监管。规范商业秩序建设，围绕强化事中事后监管，优化服务，强化与相关部门协作配合机制，形成执法合力。倡导诚信经营、诚信消费，重点针对单用途预付卡、汽车销售等方面开展检查，切实维护市场稳定和秩序。</w:t>
      </w:r>
    </w:p>
    <w:p>
      <w:pPr>
        <w:pStyle w:val="3"/>
        <w:jc w:val="both"/>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outlineLvl w:val="0"/>
        <w:rPr>
          <w:rFonts w:ascii="黑体" w:hAnsi="黑体" w:eastAsia="黑体"/>
          <w:sz w:val="56"/>
          <w:szCs w:val="36"/>
          <w:lang w:eastAsia="zh-CN"/>
        </w:rPr>
      </w:pPr>
      <w:bookmarkStart w:id="5" w:name="_Toc8667"/>
      <w:r>
        <w:rPr>
          <w:rFonts w:hint="eastAsia" w:ascii="黑体" w:hAnsi="黑体" w:eastAsia="黑体"/>
          <w:sz w:val="56"/>
          <w:szCs w:val="36"/>
          <w:lang w:eastAsia="zh-CN"/>
        </w:rPr>
        <w:t>第二部分</w:t>
      </w:r>
      <w:r>
        <w:rPr>
          <w:rFonts w:hint="eastAsia" w:ascii="黑体" w:hAnsi="黑体" w:eastAsia="黑体"/>
          <w:sz w:val="56"/>
          <w:szCs w:val="36"/>
          <w:lang w:val="en-US" w:eastAsia="zh-CN"/>
        </w:rPr>
        <w:t xml:space="preserve">  </w:t>
      </w:r>
      <w:r>
        <w:rPr>
          <w:rFonts w:hint="eastAsia" w:ascii="黑体" w:hAnsi="黑体" w:eastAsia="黑体"/>
          <w:sz w:val="56"/>
          <w:szCs w:val="36"/>
          <w:lang w:eastAsia="zh-CN"/>
        </w:rPr>
        <w:t>2024年度部门预算表</w:t>
      </w:r>
      <w:bookmarkEnd w:id="5"/>
    </w:p>
    <w:p>
      <w:pPr>
        <w:bidi w:val="0"/>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楷体" w:hAnsi="楷体" w:eastAsia="楷体"/>
          <w:sz w:val="28"/>
          <w:szCs w:val="28"/>
        </w:rPr>
      </w:pPr>
      <w:bookmarkStart w:id="6" w:name="_Toc11703"/>
      <w:r>
        <w:rPr>
          <w:rFonts w:hint="eastAsia" w:ascii="黑体" w:hAnsi="黑体" w:eastAsia="黑体"/>
          <w:sz w:val="32"/>
          <w:szCs w:val="32"/>
        </w:rPr>
        <w:t>一、收支预算总表</w:t>
      </w:r>
      <w:bookmarkEnd w:id="6"/>
    </w:p>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724"/>
        <w:gridCol w:w="1471"/>
        <w:gridCol w:w="2892"/>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2" w:hRule="atLeast"/>
        </w:trPr>
        <w:tc>
          <w:tcPr>
            <w:tcW w:w="5000" w:type="pct"/>
            <w:gridSpan w:val="4"/>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bdr w:val="none" w:color="auto" w:sz="0" w:space="0"/>
                <w:lang w:val="en-US" w:eastAsia="zh-CN" w:bidi="ar"/>
              </w:rPr>
              <w:t>2024年度收支预算总表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863"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1697"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840" w:type="pct"/>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2461" w:type="pct"/>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收  入</w:t>
            </w:r>
          </w:p>
        </w:tc>
        <w:tc>
          <w:tcPr>
            <w:tcW w:w="253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项目</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预算数</w:t>
            </w: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项目</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一、一般公共预算拨款收入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一、一般公共服务支出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二、政府性基金预算拨款收入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二、外交支出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三、国有资本经营预算拨款收入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三、国防支出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四、财政专户管理资金收入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四、公共安全支出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五、事业收入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五、教育支出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六、事业单位经营收入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六、科学技术支出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七、上级补助收入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七、文化旅游体育与传媒支出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八、附属单位上缴收入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八、社会保障和就业支出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九、其他收入</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九、卫生健康支出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十、上年结转结余</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十、节能环保支出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十一、城乡社区支出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十二、农林水支出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十三、交通运输支出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十四、资源勘探工业信息等支出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十五、商业服务业等支出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十六、金融支出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十七、援助其他地区支出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十八、自然资源海洋气象等支出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十九、住房保障支出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二十、粮油物资储备支出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二十一、国有资本经营预算支出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二十二、灾害防治及应急管理支出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二十三、其他支出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二十四、债务还本支出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二十五、债务付息支出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二十六、债务发行费用支出</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收入合计</w:t>
            </w:r>
          </w:p>
        </w:tc>
        <w:tc>
          <w:tcPr>
            <w:tcW w:w="86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169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支出合计</w:t>
            </w:r>
          </w:p>
        </w:tc>
        <w:tc>
          <w:tcPr>
            <w:tcW w:w="84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r>
    </w:tbl>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7" w:name="_Toc26313"/>
      <w:r>
        <w:rPr>
          <w:rFonts w:hint="eastAsia" w:ascii="黑体" w:hAnsi="黑体" w:eastAsia="黑体"/>
          <w:sz w:val="32"/>
          <w:szCs w:val="32"/>
        </w:rPr>
        <w:t>二、收入预算总表</w:t>
      </w:r>
      <w:bookmarkEnd w:id="7"/>
    </w:p>
    <w:p>
      <w:pPr>
        <w:tabs>
          <w:tab w:val="left" w:pos="7513"/>
        </w:tabs>
        <w:adjustRightInd w:val="0"/>
        <w:snapToGrid w:val="0"/>
        <w:spacing w:line="600" w:lineRule="exact"/>
        <w:rPr>
          <w:rFonts w:cs="Times New Roman" w:asciiTheme="majorEastAsia" w:hAnsiTheme="majorEastAsia" w:eastAsiaTheme="majorEastAsia"/>
          <w:kern w:val="0"/>
          <w:sz w:val="36"/>
          <w:szCs w:val="20"/>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43"/>
        <w:gridCol w:w="2378"/>
        <w:gridCol w:w="893"/>
        <w:gridCol w:w="893"/>
        <w:gridCol w:w="893"/>
        <w:gridCol w:w="893"/>
        <w:gridCol w:w="893"/>
        <w:gridCol w:w="893"/>
        <w:gridCol w:w="893"/>
        <w:gridCol w:w="893"/>
        <w:gridCol w:w="893"/>
        <w:gridCol w:w="893"/>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2" w:hRule="atLeast"/>
        </w:trPr>
        <w:tc>
          <w:tcPr>
            <w:tcW w:w="5000" w:type="pct"/>
            <w:gridSpan w:val="13"/>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bdr w:val="none" w:color="auto" w:sz="0" w:space="0"/>
                <w:lang w:val="en-US" w:eastAsia="zh-CN" w:bidi="ar"/>
              </w:rPr>
              <w:t>2024年度收入预算总表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839"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394" w:type="pct"/>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9"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科目编码</w:t>
            </w: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科目名称</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总计</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一般公共预算拨款收入</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政府性基金预算拨款收入</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国有资本经营预算拨款收入</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财政专户管理资金收入</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事业收入</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事业单位经营收入</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上级补助收入</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附属单位上缴收入</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其他收入</w:t>
            </w: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6</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7</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8</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9</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12</w:t>
            </w: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w:t>
            </w: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一般公共服务支出</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20113</w:t>
            </w: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商贸事务</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2011350</w:t>
            </w:r>
          </w:p>
        </w:tc>
        <w:tc>
          <w:tcPr>
            <w:tcW w:w="83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事业运行</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394"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8" w:name="_Toc25809"/>
      <w:r>
        <w:rPr>
          <w:rFonts w:hint="eastAsia" w:ascii="黑体" w:hAnsi="黑体" w:eastAsia="黑体"/>
          <w:sz w:val="32"/>
          <w:szCs w:val="32"/>
        </w:rPr>
        <w:t>三、支出预算总表</w:t>
      </w:r>
      <w:bookmarkEnd w:id="8"/>
    </w:p>
    <w:p>
      <w:pPr>
        <w:tabs>
          <w:tab w:val="left" w:pos="7513"/>
        </w:tabs>
        <w:spacing w:line="300" w:lineRule="auto"/>
        <w:ind w:firstLine="727" w:firstLineChars="202"/>
        <w:jc w:val="left"/>
        <w:rPr>
          <w:rFonts w:cs="Times New Roman" w:asciiTheme="majorEastAsia" w:hAnsiTheme="majorEastAsia" w:eastAsiaTheme="majorEastAsia"/>
          <w:kern w:val="0"/>
          <w:sz w:val="36"/>
          <w:szCs w:val="20"/>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30"/>
        <w:gridCol w:w="3212"/>
        <w:gridCol w:w="1210"/>
        <w:gridCol w:w="1210"/>
        <w:gridCol w:w="1210"/>
        <w:gridCol w:w="1347"/>
        <w:gridCol w:w="1395"/>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2" w:hRule="atLeast"/>
        </w:trPr>
        <w:tc>
          <w:tcPr>
            <w:tcW w:w="5000" w:type="pct"/>
            <w:gridSpan w:val="8"/>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bdr w:val="none" w:color="auto" w:sz="0" w:space="0"/>
                <w:lang w:val="en-US" w:eastAsia="zh-CN" w:bidi="ar"/>
              </w:rPr>
              <w:t>2024年度支出预算总表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04"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1133"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475"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492"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512" w:type="pct"/>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3" w:hRule="atLeast"/>
        </w:trPr>
        <w:tc>
          <w:tcPr>
            <w:tcW w:w="11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科目编码</w:t>
            </w:r>
          </w:p>
        </w:tc>
        <w:tc>
          <w:tcPr>
            <w:tcW w:w="11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科目名称</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基本支出</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项目支出</w:t>
            </w:r>
          </w:p>
        </w:tc>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事业单位经营支出</w:t>
            </w:r>
          </w:p>
        </w:tc>
        <w:tc>
          <w:tcPr>
            <w:tcW w:w="4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上缴上级支出</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11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w:t>
            </w:r>
          </w:p>
        </w:tc>
        <w:tc>
          <w:tcPr>
            <w:tcW w:w="4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6</w:t>
            </w:r>
          </w:p>
        </w:tc>
        <w:tc>
          <w:tcPr>
            <w:tcW w:w="49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7</w:t>
            </w: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113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w:t>
            </w:r>
          </w:p>
        </w:tc>
        <w:tc>
          <w:tcPr>
            <w:tcW w:w="11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一般公共服务支出</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7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20113</w:t>
            </w:r>
          </w:p>
        </w:tc>
        <w:tc>
          <w:tcPr>
            <w:tcW w:w="11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商贸事务</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7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2011350</w:t>
            </w:r>
          </w:p>
        </w:tc>
        <w:tc>
          <w:tcPr>
            <w:tcW w:w="113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事业运行</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427"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475"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9" w:name="_Toc29041"/>
      <w:r>
        <w:rPr>
          <w:rFonts w:hint="eastAsia" w:ascii="黑体" w:hAnsi="黑体" w:eastAsia="黑体"/>
          <w:sz w:val="32"/>
          <w:szCs w:val="32"/>
        </w:rPr>
        <w:t>四、财政拨款收支预算总表</w:t>
      </w:r>
      <w:bookmarkEnd w:id="9"/>
    </w:p>
    <w:p>
      <w:pPr>
        <w:tabs>
          <w:tab w:val="left" w:pos="7513"/>
        </w:tabs>
        <w:spacing w:line="300" w:lineRule="auto"/>
        <w:ind w:firstLine="720" w:firstLineChars="200"/>
        <w:jc w:val="left"/>
        <w:rPr>
          <w:rFonts w:ascii="楷体" w:hAnsi="楷体" w:eastAsia="楷体" w:cs="Times New Roman"/>
          <w:kern w:val="0"/>
          <w:sz w:val="36"/>
          <w:szCs w:val="2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724"/>
        <w:gridCol w:w="1324"/>
        <w:gridCol w:w="2981"/>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2" w:hRule="atLeast"/>
        </w:trPr>
        <w:tc>
          <w:tcPr>
            <w:tcW w:w="5000" w:type="pct"/>
            <w:gridSpan w:val="4"/>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bdr w:val="none" w:color="auto" w:sz="0" w:space="0"/>
                <w:lang w:val="en-US" w:eastAsia="zh-CN" w:bidi="ar"/>
              </w:rPr>
              <w:t>2024年度财政拨款收支预算总表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776"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1749"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875" w:type="pct"/>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2375" w:type="pct"/>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收  入</w:t>
            </w:r>
          </w:p>
        </w:tc>
        <w:tc>
          <w:tcPr>
            <w:tcW w:w="262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项目</w:t>
            </w: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预算数</w:t>
            </w: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 xml:space="preserve">        项目</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一、一般公共预算拨款收入</w:t>
            </w: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一、一般公共服务支出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二、政府性基金预算拨款收入</w:t>
            </w: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二、外交支出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三、国有资本经营预算拨款收入</w:t>
            </w: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三、国防支出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四、公共安全支出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五、教育支出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六、科学技术支出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七、文化旅游体育与传媒支出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八、社会保障和就业支出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九、卫生健康支出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1"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十、节能环保支出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十一、城乡社区支出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十二、农林水支出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十三、交通运输支出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十四、资源勘探工业信息等支出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十五、商业服务业等支出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十六、金融支出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十七、援助其他地区支出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十八、自然资源海洋气象等支出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十九、住房保障支出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二十、粮油物资储备支出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二十一、国有资本经营预算支出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二十二、灾害防治及应急管理支出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二十三、其他支出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二十四、债务还本支出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二十五、债务付息支出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二十六、债务发行费用支出</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收入合计</w:t>
            </w:r>
          </w:p>
        </w:tc>
        <w:tc>
          <w:tcPr>
            <w:tcW w:w="7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17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支出合计</w:t>
            </w:r>
          </w:p>
        </w:tc>
        <w:tc>
          <w:tcPr>
            <w:tcW w:w="8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r>
    </w:tbl>
    <w:p>
      <w:pPr>
        <w:tabs>
          <w:tab w:val="left" w:pos="7513"/>
        </w:tabs>
        <w:spacing w:line="300" w:lineRule="auto"/>
        <w:ind w:firstLine="720" w:firstLineChars="200"/>
        <w:jc w:val="left"/>
        <w:rPr>
          <w:rFonts w:ascii="楷体" w:hAnsi="楷体" w:eastAsia="楷体" w:cs="Times New Roman"/>
          <w:kern w:val="0"/>
          <w:sz w:val="36"/>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0" w:name="_Toc28702"/>
      <w:r>
        <w:rPr>
          <w:rFonts w:hint="eastAsia" w:ascii="黑体" w:hAnsi="黑体" w:eastAsia="黑体"/>
          <w:sz w:val="32"/>
          <w:szCs w:val="32"/>
        </w:rPr>
        <w:t>五、一般公共预算拨款支出预算表</w:t>
      </w:r>
      <w:bookmarkEnd w:id="10"/>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79"/>
        <w:gridCol w:w="3663"/>
        <w:gridCol w:w="1142"/>
        <w:gridCol w:w="1040"/>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3" w:hRule="atLeast"/>
        </w:trPr>
        <w:tc>
          <w:tcPr>
            <w:tcW w:w="5000" w:type="pct"/>
            <w:gridSpan w:val="5"/>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bdr w:val="none" w:color="auto" w:sz="0" w:space="0"/>
                <w:lang w:val="en-US" w:eastAsia="zh-CN" w:bidi="ar"/>
              </w:rPr>
              <w:t>2024年度一般公共预算拨款支出预算表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927"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2149"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670"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610"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641" w:type="pct"/>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92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科目编码</w:t>
            </w:r>
          </w:p>
        </w:tc>
        <w:tc>
          <w:tcPr>
            <w:tcW w:w="214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科目名称</w:t>
            </w:r>
          </w:p>
        </w:tc>
        <w:tc>
          <w:tcPr>
            <w:tcW w:w="67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12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 w:hRule="atLeast"/>
        </w:trPr>
        <w:tc>
          <w:tcPr>
            <w:tcW w:w="92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14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基本支出</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21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6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214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6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w:t>
            </w:r>
          </w:p>
        </w:tc>
        <w:tc>
          <w:tcPr>
            <w:tcW w:w="21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一般公共服务支出</w:t>
            </w:r>
          </w:p>
        </w:tc>
        <w:tc>
          <w:tcPr>
            <w:tcW w:w="6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20113</w:t>
            </w:r>
          </w:p>
        </w:tc>
        <w:tc>
          <w:tcPr>
            <w:tcW w:w="21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商贸事务</w:t>
            </w:r>
          </w:p>
        </w:tc>
        <w:tc>
          <w:tcPr>
            <w:tcW w:w="6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2011350</w:t>
            </w:r>
          </w:p>
        </w:tc>
        <w:tc>
          <w:tcPr>
            <w:tcW w:w="21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事业运行</w:t>
            </w:r>
          </w:p>
        </w:tc>
        <w:tc>
          <w:tcPr>
            <w:tcW w:w="67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c>
          <w:tcPr>
            <w:tcW w:w="64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Pr>
        <w:tabs>
          <w:tab w:val="left" w:pos="7513"/>
        </w:tabs>
        <w:adjustRightInd w:val="0"/>
        <w:snapToGrid w:val="0"/>
        <w:spacing w:line="600" w:lineRule="exact"/>
        <w:outlineLvl w:val="1"/>
        <w:rPr>
          <w:rFonts w:ascii="黑体" w:hAnsi="黑体" w:eastAsia="黑体"/>
          <w:sz w:val="32"/>
          <w:szCs w:val="32"/>
        </w:rPr>
      </w:pPr>
      <w:bookmarkStart w:id="11" w:name="_Toc7264"/>
      <w:r>
        <w:rPr>
          <w:rFonts w:hint="eastAsia" w:ascii="黑体" w:hAnsi="黑体" w:eastAsia="黑体"/>
          <w:sz w:val="32"/>
          <w:szCs w:val="32"/>
        </w:rPr>
        <w:t>六、政府性基金预算拨款支出预算表</w:t>
      </w:r>
      <w:bookmarkEnd w:id="11"/>
    </w:p>
    <w:tbl>
      <w:tblPr>
        <w:tblStyle w:val="10"/>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2024年</w:t>
            </w:r>
            <w:r>
              <w:rPr>
                <w:rFonts w:hint="eastAsia" w:ascii="方正小标宋简体" w:hAnsi="宋体" w:eastAsia="方正小标宋简体" w:cs="宋体"/>
                <w:kern w:val="0"/>
                <w:sz w:val="32"/>
                <w:szCs w:val="32"/>
              </w:rPr>
              <w:t>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无</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64" w:firstLineChars="126"/>
        <w:rPr>
          <w:rFonts w:hint="eastAsia" w:ascii="楷体" w:hAnsi="楷体" w:eastAsia="楷体" w:cs="Times New Roman"/>
          <w:kern w:val="0"/>
          <w:szCs w:val="21"/>
        </w:rPr>
      </w:pPr>
      <w:r>
        <w:rPr>
          <w:rFonts w:hint="eastAsia" w:ascii="楷体" w:hAnsi="楷体" w:eastAsia="楷体" w:cs="Times New Roman"/>
          <w:kern w:val="0"/>
          <w:szCs w:val="21"/>
        </w:rPr>
        <w:t>备注：本部门</w:t>
      </w:r>
      <w:r>
        <w:rPr>
          <w:rFonts w:hint="eastAsia" w:ascii="楷体" w:hAnsi="楷体" w:eastAsia="楷体" w:cs="Times New Roman"/>
          <w:kern w:val="0"/>
          <w:szCs w:val="21"/>
          <w:lang w:eastAsia="zh-CN"/>
        </w:rPr>
        <w:t>2024年</w:t>
      </w:r>
      <w:r>
        <w:rPr>
          <w:rFonts w:hint="eastAsia" w:ascii="楷体" w:hAnsi="楷体" w:eastAsia="楷体" w:cs="Times New Roman"/>
          <w:kern w:val="0"/>
          <w:szCs w:val="21"/>
        </w:rPr>
        <w:t>没有使用政府性基金预算拨款安排的支出。</w:t>
      </w:r>
    </w:p>
    <w:p>
      <w:pPr>
        <w:tabs>
          <w:tab w:val="left" w:pos="7513"/>
        </w:tabs>
        <w:adjustRightInd w:val="0"/>
        <w:snapToGrid w:val="0"/>
        <w:spacing w:line="300" w:lineRule="auto"/>
        <w:outlineLvl w:val="1"/>
        <w:rPr>
          <w:rFonts w:ascii="黑体" w:hAnsi="黑体" w:eastAsia="黑体"/>
          <w:sz w:val="32"/>
          <w:szCs w:val="32"/>
        </w:rPr>
      </w:pPr>
      <w:bookmarkStart w:id="12" w:name="_Toc7403"/>
      <w:r>
        <w:rPr>
          <w:rFonts w:hint="eastAsia" w:ascii="黑体" w:hAnsi="黑体" w:eastAsia="黑体"/>
          <w:sz w:val="32"/>
          <w:szCs w:val="32"/>
        </w:rPr>
        <w:t>七、国有资本经营预算拨款支出预算表</w:t>
      </w:r>
      <w:bookmarkEnd w:id="12"/>
    </w:p>
    <w:tbl>
      <w:tblPr>
        <w:tblStyle w:val="10"/>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2024年</w:t>
            </w:r>
            <w:r>
              <w:rPr>
                <w:rFonts w:hint="eastAsia" w:ascii="方正小标宋简体" w:hAnsi="宋体" w:eastAsia="方正小标宋简体" w:cs="宋体"/>
                <w:kern w:val="0"/>
                <w:sz w:val="32"/>
                <w:szCs w:val="32"/>
              </w:rPr>
              <w:t>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r>
              <w:rPr>
                <w:rFonts w:hint="eastAsia" w:ascii="宋体" w:hAnsi="宋体" w:eastAsia="宋体" w:cs="宋体"/>
                <w:kern w:val="0"/>
                <w:sz w:val="22"/>
              </w:rPr>
              <w:t>无</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eastAsia="zh-CN"/>
        </w:rPr>
        <w:t>2024年</w:t>
      </w:r>
      <w:r>
        <w:rPr>
          <w:rFonts w:hint="eastAsia" w:ascii="楷体" w:hAnsi="楷体" w:eastAsia="楷体" w:cs="Times New Roman"/>
          <w:kern w:val="0"/>
          <w:szCs w:val="21"/>
        </w:rPr>
        <w:t>没有使用国有资本经营预算拨款安排的支出。</w:t>
      </w:r>
    </w:p>
    <w:p>
      <w:pPr>
        <w:tabs>
          <w:tab w:val="left" w:pos="7513"/>
        </w:tabs>
        <w:adjustRightInd w:val="0"/>
        <w:snapToGrid w:val="0"/>
        <w:spacing w:line="600" w:lineRule="exact"/>
        <w:outlineLvl w:val="1"/>
        <w:rPr>
          <w:rFonts w:ascii="黑体" w:hAnsi="黑体" w:eastAsia="黑体"/>
          <w:sz w:val="32"/>
          <w:szCs w:val="32"/>
        </w:rPr>
      </w:pPr>
      <w:bookmarkStart w:id="13" w:name="_Toc20675"/>
      <w:r>
        <w:rPr>
          <w:rFonts w:hint="eastAsia" w:ascii="黑体" w:hAnsi="黑体" w:eastAsia="黑体"/>
          <w:sz w:val="32"/>
          <w:szCs w:val="32"/>
        </w:rPr>
        <w:t>八、一般公共预算支出经济分类情况表</w:t>
      </w:r>
      <w:bookmarkEnd w:id="13"/>
    </w:p>
    <w:p>
      <w:pPr>
        <w:tabs>
          <w:tab w:val="left" w:pos="7513"/>
        </w:tabs>
        <w:adjustRightInd w:val="0"/>
        <w:snapToGrid w:val="0"/>
        <w:spacing w:line="600" w:lineRule="exact"/>
        <w:rPr>
          <w:rFonts w:ascii="黑体" w:hAnsi="黑体" w:eastAsia="黑体"/>
          <w:sz w:val="32"/>
          <w:szCs w:val="32"/>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01"/>
        <w:gridCol w:w="4379"/>
        <w:gridCol w:w="2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000" w:type="pct"/>
            <w:gridSpan w:val="3"/>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bdr w:val="none" w:color="auto" w:sz="0" w:space="0"/>
                <w:lang w:val="en-US" w:eastAsia="zh-CN" w:bidi="ar"/>
              </w:rPr>
              <w:t>2024年度一般公共预算支出经济分类情况表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881"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2569"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1549" w:type="pct"/>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科目编码</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科目名称</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工资福利支出</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141.58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商品和服务支出</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对个人和家庭的补助</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307</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债务利息及费用支出</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资本性支出（基本建设）</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资本性支出</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311</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对企业补助（基本建设）</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对企业补助</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313</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对社会保障基金补助</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399</w:t>
            </w:r>
          </w:p>
        </w:tc>
        <w:tc>
          <w:tcPr>
            <w:tcW w:w="256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其他支出</w:t>
            </w:r>
          </w:p>
        </w:tc>
        <w:tc>
          <w:tcPr>
            <w:tcW w:w="1549"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4" w:name="_Toc1155"/>
      <w:r>
        <w:rPr>
          <w:rFonts w:hint="eastAsia" w:ascii="黑体" w:hAnsi="黑体" w:eastAsia="黑体"/>
          <w:sz w:val="32"/>
          <w:szCs w:val="32"/>
        </w:rPr>
        <w:t>九、一般公共预算基本支出经济分类情况表</w:t>
      </w:r>
      <w:bookmarkEnd w:id="14"/>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96"/>
        <w:gridCol w:w="4428"/>
        <w:gridCol w:w="1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000" w:type="pct"/>
            <w:gridSpan w:val="3"/>
            <w:tcBorders>
              <w:top w:val="nil"/>
              <w:left w:val="nil"/>
              <w:bottom w:val="nil"/>
              <w:right w:val="nil"/>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bdr w:val="none" w:color="auto" w:sz="0" w:space="0"/>
                <w:lang w:val="en-US" w:eastAsia="zh-CN" w:bidi="ar"/>
              </w:rPr>
              <w:t>2024年度一般公共预算基本支出经济分类情况表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2598" w:type="pct"/>
            <w:tcBorders>
              <w:top w:val="nil"/>
              <w:left w:val="nil"/>
              <w:bottom w:val="nil"/>
              <w:right w:val="nil"/>
            </w:tcBorders>
            <w:shd w:val="clear"/>
            <w:vAlign w:val="center"/>
          </w:tcPr>
          <w:p>
            <w:pPr>
              <w:rPr>
                <w:rFonts w:hint="eastAsia" w:ascii="宋体" w:hAnsi="宋体" w:eastAsia="宋体" w:cs="宋体"/>
                <w:i w:val="0"/>
                <w:iCs w:val="0"/>
                <w:color w:val="000000"/>
                <w:sz w:val="22"/>
                <w:szCs w:val="22"/>
                <w:u w:val="none"/>
              </w:rPr>
            </w:pPr>
          </w:p>
        </w:tc>
        <w:tc>
          <w:tcPr>
            <w:tcW w:w="1171" w:type="pct"/>
            <w:tcBorders>
              <w:top w:val="nil"/>
              <w:left w:val="nil"/>
              <w:bottom w:val="nil"/>
              <w:right w:val="nil"/>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2"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科目编码</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科目名称</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工资福利支出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141.58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基本工资</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津贴补贴</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奖金</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30106</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伙食补助费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绩效工资</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30108</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机关事业单位基本养老保险缴费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30109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职业年金缴费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30110</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职工基本医疗保险缴费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公务员医疗补助缴费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其他社会保障缴费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住房公积金</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30114</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医疗费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30199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其他工资福利支出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商品和服务支出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办公费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印刷费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咨询费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30204</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手续费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30205</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水费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30206</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电费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邮电费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30208</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取暖费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30209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物业管理费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差旅费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因公出国（境）费用</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维修(护)费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30214</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租赁费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30215</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会议费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30216</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培训费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公务接待费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30218</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专用材料费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30224</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被装购置费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30225</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专用燃料费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30226</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劳务费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30227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委托业务费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30228</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工会经费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30229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福利费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30231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公务用车运行维护费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30239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其他交通费用</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30240</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税金及附加费用</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30299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其他商品和服务支出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对个人和家庭的补助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离休费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退休费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退职（役）费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30304</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抚恤金</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30305</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生活补助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30306</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救济费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医疗费补助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30308</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助学金</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30309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奖励金</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30310</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个人农业生产补贴</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30311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代缴社会保险费</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30399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其他对个人和家庭的补助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债务利息及费用支出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30701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国内债务付息</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30702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国外债务付息</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30703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国内债务发行费用</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30704</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国外债务发行费用</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资本性支出（基本建设）</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房屋建筑物购建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30902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办公设备购置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专用设备购置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30905</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基础设施建设</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30906</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大型修缮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30907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信息网络及软件购置更新</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30908</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物资储备</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30913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公务用车购置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30919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其他交通工具购置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30921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文物和陈列品购置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30922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无形资产购置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30999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其他基本建设支出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资本性支出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房屋建筑物购建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31002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办公设备购置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专用设备购置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31005</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基础设施建设</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31006</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大型修缮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31007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信息网络及软件购置更新</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31008</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物资储备</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31009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土地补偿</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31010</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安置补助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31011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地上附着物和青苗补偿</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31012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拆迁补偿</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31013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公务用车购置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31019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其他交通工具购置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31021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文物和陈列品购置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31022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无形资产购置</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31099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其他资本性支出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对企业补助（基本建设）</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31101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资本金注入（基本建设）</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31199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其他对企业补助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对企业补助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31201</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资本金注入</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政府投资基金股权投资</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31204</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费用补贴</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31205</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利息补贴</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31206</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其他资本性补助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31299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其他对企业补助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对社会保障基金补助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31302</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对社会保险基金补助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31303</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补充全国社会保障基金</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31304</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对机关事业单位职业年金的补助</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39907</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国家赔偿费用支出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39908</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对民间非营利组织和群众性自治组织补贴</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39909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经常性赠与</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39910</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资本性赠与</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39999</w:t>
            </w:r>
          </w:p>
        </w:tc>
        <w:tc>
          <w:tcPr>
            <w:tcW w:w="259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其他支出</w:t>
            </w:r>
          </w:p>
        </w:tc>
        <w:tc>
          <w:tcPr>
            <w:tcW w:w="1171" w:type="pct"/>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18"/>
                <w:szCs w:val="18"/>
                <w:u w:val="none"/>
              </w:rPr>
            </w:pPr>
          </w:p>
        </w:tc>
      </w:tr>
    </w:tbl>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5" w:name="_Toc27740"/>
      <w:r>
        <w:rPr>
          <w:rFonts w:hint="eastAsia" w:ascii="黑体" w:hAnsi="黑体" w:eastAsia="黑体"/>
          <w:sz w:val="32"/>
          <w:szCs w:val="32"/>
        </w:rPr>
        <w:t>十、一般公共预算“三公”经费支出预算表</w:t>
      </w:r>
      <w:bookmarkEnd w:id="15"/>
    </w:p>
    <w:tbl>
      <w:tblPr>
        <w:tblStyle w:val="10"/>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eastAsia="zh-CN"/>
              </w:rPr>
              <w:t>2024年</w:t>
            </w:r>
            <w:r>
              <w:rPr>
                <w:rFonts w:hint="eastAsia" w:ascii="方正小标宋简体" w:hAnsi="黑体" w:eastAsia="方正小标宋简体" w:cs="宋体"/>
                <w:kern w:val="0"/>
                <w:sz w:val="32"/>
                <w:szCs w:val="32"/>
              </w:rPr>
              <w:t>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0.00</w:t>
            </w:r>
          </w:p>
        </w:tc>
      </w:tr>
    </w:tbl>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6" w:name="_Toc6323"/>
      <w:r>
        <w:rPr>
          <w:rFonts w:hint="eastAsia" w:ascii="黑体" w:hAnsi="黑体" w:eastAsia="黑体"/>
          <w:sz w:val="32"/>
          <w:szCs w:val="32"/>
        </w:rPr>
        <w:t>十一、部门专项资金管理清单目录</w:t>
      </w:r>
      <w:bookmarkEnd w:id="16"/>
    </w:p>
    <w:tbl>
      <w:tblPr>
        <w:tblStyle w:val="10"/>
        <w:tblW w:w="4921" w:type="pct"/>
        <w:tblInd w:w="0" w:type="dxa"/>
        <w:tblLayout w:type="autofit"/>
        <w:tblCellMar>
          <w:top w:w="0" w:type="dxa"/>
          <w:left w:w="108" w:type="dxa"/>
          <w:bottom w:w="0" w:type="dxa"/>
          <w:right w:w="108" w:type="dxa"/>
        </w:tblCellMar>
      </w:tblPr>
      <w:tblGrid>
        <w:gridCol w:w="719"/>
        <w:gridCol w:w="1041"/>
        <w:gridCol w:w="904"/>
        <w:gridCol w:w="488"/>
        <w:gridCol w:w="3574"/>
        <w:gridCol w:w="2882"/>
        <w:gridCol w:w="511"/>
        <w:gridCol w:w="887"/>
        <w:gridCol w:w="815"/>
        <w:gridCol w:w="695"/>
        <w:gridCol w:w="734"/>
        <w:gridCol w:w="700"/>
      </w:tblGrid>
      <w:tr>
        <w:tblPrEx>
          <w:tblCellMar>
            <w:top w:w="0" w:type="dxa"/>
            <w:left w:w="108" w:type="dxa"/>
            <w:bottom w:w="0" w:type="dxa"/>
            <w:right w:w="108" w:type="dxa"/>
          </w:tblCellMar>
        </w:tblPrEx>
        <w:trPr>
          <w:trHeight w:val="285" w:hRule="atLeast"/>
        </w:trPr>
        <w:tc>
          <w:tcPr>
            <w:tcW w:w="258" w:type="pct"/>
            <w:tcBorders>
              <w:top w:val="nil"/>
              <w:left w:val="nil"/>
              <w:bottom w:val="nil"/>
              <w:right w:val="nil"/>
            </w:tcBorders>
            <w:shd w:val="clear" w:color="auto" w:fill="auto"/>
            <w:vAlign w:val="center"/>
          </w:tcPr>
          <w:p>
            <w:pPr>
              <w:rPr>
                <w:rFonts w:ascii="宋体" w:hAnsi="宋体" w:eastAsia="宋体" w:cs="宋体"/>
                <w:sz w:val="18"/>
                <w:szCs w:val="18"/>
              </w:rPr>
            </w:pPr>
            <w:r>
              <w:rPr>
                <w:rFonts w:hint="eastAsia"/>
                <w:sz w:val="18"/>
                <w:szCs w:val="18"/>
              </w:rPr>
              <w:t>　</w:t>
            </w:r>
          </w:p>
        </w:tc>
        <w:tc>
          <w:tcPr>
            <w:tcW w:w="373"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324"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75"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281"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033"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83"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318"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92"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49"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63"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51"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19" w:hRule="atLeast"/>
        </w:trPr>
        <w:tc>
          <w:tcPr>
            <w:tcW w:w="4749" w:type="pct"/>
            <w:gridSpan w:val="11"/>
            <w:tcBorders>
              <w:top w:val="nil"/>
              <w:left w:val="nil"/>
              <w:bottom w:val="nil"/>
              <w:right w:val="nil"/>
            </w:tcBorders>
            <w:shd w:val="clear" w:color="auto" w:fill="auto"/>
            <w:vAlign w:val="center"/>
          </w:tcPr>
          <w:p>
            <w:pPr>
              <w:jc w:val="center"/>
              <w:rPr>
                <w:rFonts w:ascii="宋体" w:hAnsi="宋体" w:eastAsia="宋体" w:cs="宋体"/>
                <w:sz w:val="30"/>
                <w:szCs w:val="30"/>
              </w:rPr>
            </w:pPr>
            <w:r>
              <w:rPr>
                <w:rFonts w:hint="eastAsia" w:ascii="方正小标宋简体" w:hAnsi="宋体" w:eastAsia="方正小标宋简体" w:cs="宋体"/>
                <w:kern w:val="0"/>
                <w:sz w:val="32"/>
                <w:szCs w:val="32"/>
                <w:lang w:eastAsia="zh-CN"/>
              </w:rPr>
              <w:t>2024年</w:t>
            </w:r>
            <w:r>
              <w:rPr>
                <w:rFonts w:hint="eastAsia" w:ascii="方正小标宋简体" w:hAnsi="宋体" w:eastAsia="方正小标宋简体" w:cs="宋体"/>
                <w:kern w:val="0"/>
                <w:sz w:val="32"/>
                <w:szCs w:val="32"/>
              </w:rPr>
              <w:t>度部门专项资金管理清单目录</w:t>
            </w:r>
          </w:p>
        </w:tc>
        <w:tc>
          <w:tcPr>
            <w:tcW w:w="251"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285" w:hRule="atLeast"/>
        </w:trPr>
        <w:tc>
          <w:tcPr>
            <w:tcW w:w="258"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373"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324"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75"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281"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033"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183"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318"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92"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49"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63"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c>
          <w:tcPr>
            <w:tcW w:w="251" w:type="pct"/>
            <w:tcBorders>
              <w:top w:val="nil"/>
              <w:left w:val="nil"/>
              <w:bottom w:val="nil"/>
              <w:right w:val="nil"/>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514" w:hRule="atLeast"/>
        </w:trPr>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主管部门名称</w:t>
            </w:r>
          </w:p>
        </w:tc>
        <w:tc>
          <w:tcPr>
            <w:tcW w:w="3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专项资金立项项目名称</w:t>
            </w:r>
          </w:p>
        </w:tc>
        <w:tc>
          <w:tcPr>
            <w:tcW w:w="3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立项依据</w:t>
            </w:r>
          </w:p>
        </w:tc>
        <w:tc>
          <w:tcPr>
            <w:tcW w:w="1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执行年限</w:t>
            </w:r>
          </w:p>
        </w:tc>
        <w:tc>
          <w:tcPr>
            <w:tcW w:w="12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实施规划</w:t>
            </w:r>
          </w:p>
        </w:tc>
        <w:tc>
          <w:tcPr>
            <w:tcW w:w="10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总体绩效目标</w:t>
            </w:r>
          </w:p>
        </w:tc>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支出级次</w:t>
            </w:r>
          </w:p>
        </w:tc>
        <w:tc>
          <w:tcPr>
            <w:tcW w:w="1122" w:type="pct"/>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资金拼盘</w:t>
            </w:r>
          </w:p>
        </w:tc>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资金分配办法及支出标准</w:t>
            </w:r>
          </w:p>
        </w:tc>
      </w:tr>
      <w:tr>
        <w:tblPrEx>
          <w:tblCellMar>
            <w:top w:w="0" w:type="dxa"/>
            <w:left w:w="108" w:type="dxa"/>
            <w:bottom w:w="0" w:type="dxa"/>
            <w:right w:w="108" w:type="dxa"/>
          </w:tblCellMar>
        </w:tblPrEx>
        <w:trPr>
          <w:trHeight w:val="1573" w:hRule="atLeast"/>
        </w:trPr>
        <w:tc>
          <w:tcPr>
            <w:tcW w:w="258"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324"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175"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1281"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1033"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183"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c>
          <w:tcPr>
            <w:tcW w:w="318"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小计</w:t>
            </w:r>
          </w:p>
        </w:tc>
        <w:tc>
          <w:tcPr>
            <w:tcW w:w="292"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一般公共预算</w:t>
            </w:r>
          </w:p>
        </w:tc>
        <w:tc>
          <w:tcPr>
            <w:tcW w:w="249"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政府性基金预算</w:t>
            </w:r>
          </w:p>
        </w:tc>
        <w:tc>
          <w:tcPr>
            <w:tcW w:w="263"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国有资本经营预算</w:t>
            </w:r>
          </w:p>
        </w:tc>
        <w:tc>
          <w:tcPr>
            <w:tcW w:w="251" w:type="pct"/>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18"/>
                <w:szCs w:val="18"/>
              </w:rPr>
            </w:pPr>
          </w:p>
        </w:tc>
      </w:tr>
      <w:tr>
        <w:tblPrEx>
          <w:tblCellMar>
            <w:top w:w="0" w:type="dxa"/>
            <w:left w:w="108" w:type="dxa"/>
            <w:bottom w:w="0" w:type="dxa"/>
            <w:right w:w="108" w:type="dxa"/>
          </w:tblCellMar>
        </w:tblPrEx>
        <w:trPr>
          <w:trHeight w:val="348" w:hRule="atLeast"/>
        </w:trPr>
        <w:tc>
          <w:tcPr>
            <w:tcW w:w="258" w:type="pc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合计</w:t>
            </w:r>
          </w:p>
        </w:tc>
        <w:tc>
          <w:tcPr>
            <w:tcW w:w="373"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324"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75"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281"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033"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183"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c>
          <w:tcPr>
            <w:tcW w:w="318" w:type="pct"/>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292" w:type="pct"/>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249" w:type="pct"/>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263" w:type="pct"/>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18"/>
                <w:szCs w:val="18"/>
              </w:rPr>
            </w:pPr>
          </w:p>
        </w:tc>
        <w:tc>
          <w:tcPr>
            <w:tcW w:w="251" w:type="pct"/>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r>
              <w:rPr>
                <w:rFonts w:hint="eastAsia"/>
                <w:sz w:val="18"/>
                <w:szCs w:val="18"/>
              </w:rPr>
              <w:t>　</w:t>
            </w:r>
          </w:p>
        </w:tc>
      </w:tr>
      <w:tr>
        <w:tblPrEx>
          <w:tblCellMar>
            <w:top w:w="0" w:type="dxa"/>
            <w:left w:w="108" w:type="dxa"/>
            <w:bottom w:w="0" w:type="dxa"/>
            <w:right w:w="108" w:type="dxa"/>
          </w:tblCellMar>
        </w:tblPrEx>
        <w:trPr>
          <w:trHeight w:val="1969" w:hRule="atLeast"/>
        </w:trPr>
        <w:tc>
          <w:tcPr>
            <w:tcW w:w="258" w:type="pct"/>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15"/>
                <w:szCs w:val="15"/>
              </w:rPr>
            </w:pPr>
          </w:p>
        </w:tc>
        <w:tc>
          <w:tcPr>
            <w:tcW w:w="373" w:type="pct"/>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15"/>
                <w:szCs w:val="15"/>
              </w:rPr>
            </w:pPr>
          </w:p>
        </w:tc>
        <w:tc>
          <w:tcPr>
            <w:tcW w:w="324" w:type="pct"/>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15"/>
                <w:szCs w:val="15"/>
              </w:rPr>
            </w:pPr>
          </w:p>
        </w:tc>
        <w:tc>
          <w:tcPr>
            <w:tcW w:w="175" w:type="pct"/>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15"/>
                <w:szCs w:val="15"/>
              </w:rPr>
            </w:pPr>
          </w:p>
        </w:tc>
        <w:tc>
          <w:tcPr>
            <w:tcW w:w="1281" w:type="pct"/>
            <w:tcBorders>
              <w:top w:val="nil"/>
              <w:left w:val="nil"/>
              <w:bottom w:val="single" w:color="000000" w:sz="4" w:space="0"/>
              <w:right w:val="single" w:color="000000" w:sz="4" w:space="0"/>
            </w:tcBorders>
            <w:shd w:val="clear" w:color="auto" w:fill="auto"/>
            <w:vAlign w:val="center"/>
          </w:tcPr>
          <w:p>
            <w:pPr>
              <w:rPr>
                <w:rFonts w:hint="eastAsia" w:ascii="宋体" w:hAnsi="宋体" w:eastAsia="宋体" w:cs="宋体"/>
                <w:sz w:val="15"/>
                <w:szCs w:val="15"/>
                <w:lang w:eastAsia="zh-CN"/>
              </w:rPr>
            </w:pPr>
            <w:r>
              <w:rPr>
                <w:rFonts w:hint="eastAsia" w:ascii="宋体" w:hAnsi="宋体" w:eastAsia="宋体" w:cs="宋体"/>
                <w:sz w:val="36"/>
                <w:szCs w:val="36"/>
                <w:lang w:eastAsia="zh-CN"/>
              </w:rPr>
              <w:t>无</w:t>
            </w:r>
          </w:p>
        </w:tc>
        <w:tc>
          <w:tcPr>
            <w:tcW w:w="1033" w:type="pct"/>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15"/>
                <w:szCs w:val="15"/>
              </w:rPr>
            </w:pPr>
          </w:p>
        </w:tc>
        <w:tc>
          <w:tcPr>
            <w:tcW w:w="183" w:type="pct"/>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15"/>
                <w:szCs w:val="15"/>
              </w:rPr>
            </w:pPr>
          </w:p>
        </w:tc>
        <w:tc>
          <w:tcPr>
            <w:tcW w:w="318" w:type="pct"/>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15"/>
                <w:szCs w:val="15"/>
              </w:rPr>
            </w:pPr>
          </w:p>
        </w:tc>
        <w:tc>
          <w:tcPr>
            <w:tcW w:w="292" w:type="pct"/>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15"/>
                <w:szCs w:val="15"/>
              </w:rPr>
            </w:pPr>
          </w:p>
        </w:tc>
        <w:tc>
          <w:tcPr>
            <w:tcW w:w="249" w:type="pct"/>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15"/>
                <w:szCs w:val="15"/>
              </w:rPr>
            </w:pPr>
          </w:p>
        </w:tc>
        <w:tc>
          <w:tcPr>
            <w:tcW w:w="263" w:type="pct"/>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宋体"/>
                <w:sz w:val="15"/>
                <w:szCs w:val="15"/>
              </w:rPr>
            </w:pPr>
          </w:p>
        </w:tc>
        <w:tc>
          <w:tcPr>
            <w:tcW w:w="251" w:type="pct"/>
            <w:tcBorders>
              <w:top w:val="nil"/>
              <w:left w:val="nil"/>
              <w:bottom w:val="single" w:color="000000" w:sz="4" w:space="0"/>
              <w:right w:val="single" w:color="000000" w:sz="4" w:space="0"/>
            </w:tcBorders>
            <w:shd w:val="clear" w:color="auto" w:fill="auto"/>
            <w:vAlign w:val="center"/>
          </w:tcPr>
          <w:p>
            <w:pPr>
              <w:rPr>
                <w:rFonts w:ascii="宋体" w:hAnsi="宋体" w:eastAsia="宋体" w:cs="宋体"/>
                <w:sz w:val="15"/>
                <w:szCs w:val="15"/>
              </w:rPr>
            </w:pPr>
          </w:p>
        </w:tc>
      </w:tr>
      <w:tr>
        <w:tblPrEx>
          <w:tblCellMar>
            <w:top w:w="0" w:type="dxa"/>
            <w:left w:w="108" w:type="dxa"/>
            <w:bottom w:w="0" w:type="dxa"/>
            <w:right w:w="108" w:type="dxa"/>
          </w:tblCellMar>
        </w:tblPrEx>
        <w:trPr>
          <w:gridAfter w:val="6"/>
          <w:wAfter w:w="1556" w:type="pct"/>
          <w:trHeight w:val="525" w:hRule="atLeast"/>
        </w:trPr>
        <w:tc>
          <w:tcPr>
            <w:tcW w:w="3444" w:type="pct"/>
            <w:gridSpan w:val="6"/>
            <w:tcBorders>
              <w:top w:val="nil"/>
              <w:left w:val="nil"/>
              <w:bottom w:val="nil"/>
              <w:right w:val="nil"/>
            </w:tcBorders>
          </w:tcPr>
          <w:p>
            <w:pPr>
              <w:widowControl/>
              <w:spacing w:line="240" w:lineRule="auto"/>
              <w:rPr>
                <w:rFonts w:ascii="方正小标宋简体" w:hAnsi="宋体" w:eastAsia="方正小标宋简体" w:cs="宋体"/>
                <w:kern w:val="0"/>
                <w:sz w:val="32"/>
                <w:szCs w:val="32"/>
              </w:rPr>
            </w:pPr>
          </w:p>
        </w:tc>
      </w:tr>
    </w:tbl>
    <w:p>
      <w:pPr>
        <w:tabs>
          <w:tab w:val="left" w:pos="798"/>
        </w:tabs>
        <w:spacing w:line="240" w:lineRule="auto"/>
        <w:rPr>
          <w:rFonts w:ascii="楷体" w:hAnsi="楷体" w:eastAsia="楷体"/>
          <w:sz w:val="36"/>
          <w:szCs w:val="36"/>
        </w:rPr>
        <w:sectPr>
          <w:pgSz w:w="16838" w:h="11906" w:orient="landscape"/>
          <w:pgMar w:top="1800" w:right="1440" w:bottom="1800" w:left="1440" w:header="851" w:footer="992" w:gutter="0"/>
          <w:cols w:space="425" w:num="1"/>
          <w:docGrid w:type="lines" w:linePitch="312" w:charSpace="0"/>
        </w:sectPr>
      </w:pPr>
    </w:p>
    <w:p>
      <w:pPr>
        <w:pStyle w:val="3"/>
        <w:rPr>
          <w:rFonts w:ascii="黑体" w:hAnsi="黑体" w:eastAsia="黑体"/>
          <w:sz w:val="36"/>
          <w:szCs w:val="36"/>
          <w:lang w:eastAsia="zh-CN"/>
        </w:rPr>
      </w:pPr>
    </w:p>
    <w:p>
      <w:pPr>
        <w:pStyle w:val="3"/>
        <w:rPr>
          <w:rFonts w:ascii="黑体" w:hAnsi="黑体" w:eastAsia="黑体"/>
          <w:sz w:val="36"/>
          <w:szCs w:val="36"/>
          <w:lang w:eastAsia="zh-CN"/>
        </w:rPr>
      </w:pPr>
    </w:p>
    <w:p>
      <w:pPr>
        <w:pStyle w:val="3"/>
        <w:rPr>
          <w:rFonts w:ascii="黑体" w:hAnsi="黑体" w:eastAsia="黑体"/>
          <w:sz w:val="36"/>
          <w:szCs w:val="36"/>
          <w:lang w:eastAsia="zh-CN"/>
        </w:rPr>
      </w:pPr>
    </w:p>
    <w:p>
      <w:pPr>
        <w:pStyle w:val="3"/>
        <w:rPr>
          <w:rFonts w:ascii="黑体" w:hAnsi="黑体" w:eastAsia="黑体"/>
          <w:sz w:val="36"/>
          <w:szCs w:val="36"/>
          <w:lang w:eastAsia="zh-CN"/>
        </w:rPr>
      </w:pPr>
    </w:p>
    <w:p>
      <w:pPr>
        <w:pStyle w:val="3"/>
        <w:rPr>
          <w:rFonts w:ascii="黑体" w:hAnsi="黑体" w:eastAsia="黑体"/>
          <w:sz w:val="36"/>
          <w:szCs w:val="36"/>
          <w:lang w:eastAsia="zh-CN"/>
        </w:rPr>
      </w:pPr>
    </w:p>
    <w:p>
      <w:pPr>
        <w:pStyle w:val="3"/>
        <w:outlineLvl w:val="0"/>
        <w:rPr>
          <w:rFonts w:ascii="黑体" w:hAnsi="黑体" w:eastAsia="黑体"/>
          <w:sz w:val="56"/>
          <w:szCs w:val="36"/>
          <w:lang w:eastAsia="zh-CN"/>
        </w:rPr>
      </w:pPr>
      <w:bookmarkStart w:id="17" w:name="_Toc24693"/>
      <w:r>
        <w:rPr>
          <w:rFonts w:hint="eastAsia" w:ascii="黑体" w:hAnsi="黑体" w:eastAsia="黑体"/>
          <w:sz w:val="56"/>
          <w:szCs w:val="36"/>
          <w:lang w:eastAsia="zh-CN"/>
        </w:rPr>
        <w:t>第三部分</w:t>
      </w:r>
      <w:r>
        <w:rPr>
          <w:rFonts w:hint="eastAsia" w:ascii="黑体" w:hAnsi="黑体" w:eastAsia="黑体"/>
          <w:sz w:val="56"/>
          <w:szCs w:val="36"/>
          <w:lang w:val="en-US" w:eastAsia="zh-CN"/>
        </w:rPr>
        <w:t xml:space="preserve">  </w:t>
      </w:r>
      <w:r>
        <w:rPr>
          <w:rFonts w:hint="eastAsia" w:ascii="黑体" w:hAnsi="黑体" w:eastAsia="黑体"/>
          <w:sz w:val="56"/>
          <w:szCs w:val="36"/>
          <w:lang w:eastAsia="zh-CN"/>
        </w:rPr>
        <w:t>2024年度部门预算情况说明</w:t>
      </w:r>
      <w:bookmarkEnd w:id="17"/>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8" w:name="_Toc31118"/>
      <w:r>
        <w:rPr>
          <w:rFonts w:hint="eastAsia" w:ascii="黑体" w:hAnsi="黑体" w:eastAsia="黑体"/>
          <w:sz w:val="32"/>
          <w:szCs w:val="32"/>
        </w:rPr>
        <w:t>一、预算收支总体情况</w:t>
      </w:r>
      <w:bookmarkEnd w:id="18"/>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2024年</w:t>
      </w:r>
      <w:r>
        <w:rPr>
          <w:rFonts w:hint="eastAsia" w:ascii="仿宋" w:hAnsi="仿宋" w:eastAsia="仿宋"/>
          <w:sz w:val="32"/>
          <w:szCs w:val="32"/>
        </w:rPr>
        <w:t>，</w:t>
      </w:r>
      <w:r>
        <w:rPr>
          <w:rFonts w:hint="eastAsia" w:ascii="仿宋" w:hAnsi="仿宋" w:eastAsia="仿宋"/>
          <w:sz w:val="32"/>
        </w:rPr>
        <w:t>鼓楼区商务综合行政执法大队</w:t>
      </w:r>
      <w:r>
        <w:rPr>
          <w:rFonts w:hint="eastAsia" w:ascii="仿宋" w:hAnsi="仿宋" w:eastAsia="仿宋"/>
          <w:sz w:val="32"/>
          <w:szCs w:val="32"/>
        </w:rPr>
        <w:t>收入预算为</w:t>
      </w:r>
      <w:r>
        <w:rPr>
          <w:rFonts w:hint="eastAsia" w:ascii="仿宋" w:hAnsi="仿宋" w:eastAsia="仿宋" w:cs="仿宋_GB2312"/>
          <w:sz w:val="32"/>
          <w:szCs w:val="32"/>
          <w:lang w:val="en-US" w:eastAsia="zh-CN"/>
        </w:rPr>
        <w:t>154.01</w:t>
      </w:r>
      <w:r>
        <w:rPr>
          <w:rFonts w:hint="eastAsia" w:ascii="仿宋" w:hAnsi="仿宋" w:eastAsia="仿宋"/>
          <w:sz w:val="32"/>
          <w:szCs w:val="32"/>
        </w:rPr>
        <w:t>万元，比上年增加</w:t>
      </w:r>
      <w:r>
        <w:rPr>
          <w:rFonts w:hint="eastAsia" w:ascii="仿宋" w:hAnsi="仿宋" w:eastAsia="仿宋"/>
          <w:sz w:val="32"/>
          <w:szCs w:val="32"/>
          <w:lang w:val="en-US" w:eastAsia="zh-CN"/>
        </w:rPr>
        <w:t>5.29</w:t>
      </w:r>
      <w:r>
        <w:rPr>
          <w:rFonts w:hint="eastAsia" w:ascii="仿宋" w:hAnsi="仿宋" w:eastAsia="仿宋"/>
          <w:sz w:val="32"/>
          <w:szCs w:val="32"/>
        </w:rPr>
        <w:t>万元，主要原因是</w:t>
      </w:r>
      <w:r>
        <w:rPr>
          <w:rFonts w:hint="eastAsia" w:ascii="仿宋" w:hAnsi="仿宋" w:eastAsia="仿宋"/>
          <w:sz w:val="32"/>
          <w:szCs w:val="32"/>
          <w:lang w:eastAsia="zh-CN"/>
        </w:rPr>
        <w:t>本年度人员经费增加</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154.01</w:t>
      </w:r>
      <w:r>
        <w:rPr>
          <w:rFonts w:hint="eastAsia" w:ascii="仿宋" w:hAnsi="仿宋" w:eastAsia="仿宋"/>
          <w:sz w:val="32"/>
          <w:szCs w:val="32"/>
        </w:rPr>
        <w:t>万元、政府性基金预算拨款收入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万元、国有资本经营预算拨款收入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万元、财政专户管理资金收入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万元、事业单位经营收入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万元、上级补助收入</w:t>
      </w:r>
      <w:r>
        <w:rPr>
          <w:rFonts w:hint="eastAsia" w:ascii="仿宋" w:hAnsi="仿宋" w:eastAsia="仿宋" w:cs="仿宋_GB2312"/>
          <w:sz w:val="32"/>
          <w:szCs w:val="32"/>
          <w:lang w:val="en-US" w:eastAsia="zh-CN"/>
        </w:rPr>
        <w:t>0</w:t>
      </w:r>
      <w:r>
        <w:rPr>
          <w:rFonts w:hint="eastAsia" w:ascii="仿宋" w:hAnsi="仿宋" w:eastAsia="仿宋"/>
          <w:sz w:val="32"/>
          <w:szCs w:val="32"/>
        </w:rPr>
        <w:t>万元、附属单位上缴收入</w:t>
      </w:r>
      <w:r>
        <w:rPr>
          <w:rFonts w:hint="eastAsia" w:ascii="仿宋" w:hAnsi="仿宋" w:eastAsia="仿宋" w:cs="仿宋_GB2312"/>
          <w:sz w:val="32"/>
          <w:szCs w:val="32"/>
          <w:lang w:val="en-US" w:eastAsia="zh-CN"/>
        </w:rPr>
        <w:t>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万元、上年结转结余</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154.01</w:t>
      </w:r>
      <w:r>
        <w:rPr>
          <w:rFonts w:hint="eastAsia" w:ascii="仿宋" w:hAnsi="仿宋" w:eastAsia="仿宋"/>
          <w:sz w:val="32"/>
          <w:szCs w:val="32"/>
        </w:rPr>
        <w:t>万元，比上年增加</w:t>
      </w:r>
      <w:r>
        <w:rPr>
          <w:rFonts w:hint="eastAsia" w:ascii="仿宋" w:hAnsi="仿宋" w:eastAsia="仿宋"/>
          <w:sz w:val="32"/>
          <w:szCs w:val="32"/>
          <w:lang w:val="en-US" w:eastAsia="zh-CN"/>
        </w:rPr>
        <w:t>5.29</w:t>
      </w:r>
      <w:r>
        <w:rPr>
          <w:rFonts w:hint="eastAsia" w:ascii="仿宋" w:hAnsi="仿宋" w:eastAsia="仿宋"/>
          <w:sz w:val="32"/>
          <w:szCs w:val="32"/>
        </w:rPr>
        <w:t>万元，主要原因是</w:t>
      </w:r>
      <w:r>
        <w:rPr>
          <w:rFonts w:hint="eastAsia" w:ascii="仿宋" w:hAnsi="仿宋" w:eastAsia="仿宋"/>
          <w:sz w:val="32"/>
          <w:szCs w:val="32"/>
          <w:lang w:eastAsia="zh-CN"/>
        </w:rPr>
        <w:t>本年度人员经费增加</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154.01</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0</w:t>
      </w:r>
      <w:r>
        <w:rPr>
          <w:rFonts w:hint="eastAsia" w:ascii="仿宋" w:hAnsi="仿宋" w:eastAsia="仿宋"/>
          <w:sz w:val="32"/>
          <w:szCs w:val="32"/>
        </w:rPr>
        <w:t>万元、事业单位经营支出</w:t>
      </w:r>
      <w:r>
        <w:rPr>
          <w:rFonts w:hint="eastAsia" w:ascii="仿宋" w:hAnsi="仿宋" w:eastAsia="仿宋" w:cs="仿宋_GB2312"/>
          <w:sz w:val="32"/>
          <w:szCs w:val="32"/>
          <w:lang w:val="en-US" w:eastAsia="zh-CN"/>
        </w:rPr>
        <w:t>0</w:t>
      </w:r>
      <w:r>
        <w:rPr>
          <w:rFonts w:hint="eastAsia" w:ascii="仿宋" w:hAnsi="仿宋" w:eastAsia="仿宋"/>
          <w:sz w:val="32"/>
          <w:szCs w:val="32"/>
        </w:rPr>
        <w:t>万元、上缴上级支出</w:t>
      </w:r>
      <w:r>
        <w:rPr>
          <w:rFonts w:hint="eastAsia" w:ascii="仿宋" w:hAnsi="仿宋" w:eastAsia="仿宋" w:cs="仿宋_GB2312"/>
          <w:sz w:val="32"/>
          <w:szCs w:val="32"/>
          <w:lang w:val="en-US" w:eastAsia="zh-CN"/>
        </w:rPr>
        <w:t>0</w:t>
      </w:r>
      <w:r>
        <w:rPr>
          <w:rFonts w:hint="eastAsia" w:ascii="仿宋" w:hAnsi="仿宋" w:eastAsia="仿宋"/>
          <w:sz w:val="32"/>
          <w:szCs w:val="32"/>
        </w:rPr>
        <w:t>万元、对附属单位补助支出</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outlineLvl w:val="1"/>
        <w:rPr>
          <w:rFonts w:ascii="黑体" w:hAnsi="黑体" w:eastAsia="黑体"/>
          <w:sz w:val="32"/>
          <w:szCs w:val="32"/>
        </w:rPr>
      </w:pPr>
      <w:bookmarkStart w:id="19" w:name="_Toc6424"/>
      <w:r>
        <w:rPr>
          <w:rFonts w:hint="eastAsia" w:ascii="黑体" w:hAnsi="黑体" w:eastAsia="黑体"/>
          <w:sz w:val="32"/>
          <w:szCs w:val="32"/>
        </w:rPr>
        <w:t>二、一般公共预算拨款支出情况</w:t>
      </w:r>
      <w:bookmarkEnd w:id="19"/>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lang w:val="en-US" w:eastAsia="zh-CN"/>
        </w:rPr>
        <w:t>2024年</w:t>
      </w:r>
      <w:r>
        <w:rPr>
          <w:rFonts w:hint="eastAsia" w:ascii="仿宋" w:hAnsi="仿宋" w:eastAsia="仿宋" w:cs="仿宋_GB2312"/>
          <w:sz w:val="32"/>
          <w:szCs w:val="32"/>
        </w:rPr>
        <w:t>度一般公共预算拨款支出</w:t>
      </w:r>
      <w:r>
        <w:rPr>
          <w:rFonts w:hint="eastAsia" w:ascii="仿宋" w:hAnsi="仿宋" w:eastAsia="仿宋" w:cs="仿宋_GB2312"/>
          <w:sz w:val="32"/>
          <w:szCs w:val="32"/>
          <w:lang w:val="en-US" w:eastAsia="zh-CN"/>
        </w:rPr>
        <w:t>154.01</w:t>
      </w:r>
      <w:r>
        <w:rPr>
          <w:rFonts w:hint="eastAsia" w:ascii="仿宋" w:hAnsi="仿宋" w:eastAsia="仿宋"/>
          <w:sz w:val="32"/>
          <w:szCs w:val="32"/>
        </w:rPr>
        <w:t>万元，比上年增加</w:t>
      </w:r>
      <w:r>
        <w:rPr>
          <w:rFonts w:hint="eastAsia" w:ascii="仿宋" w:hAnsi="仿宋" w:eastAsia="仿宋"/>
          <w:sz w:val="32"/>
          <w:szCs w:val="32"/>
          <w:lang w:val="en-US" w:eastAsia="zh-CN"/>
        </w:rPr>
        <w:t>5.29</w:t>
      </w:r>
      <w:r>
        <w:rPr>
          <w:rFonts w:hint="eastAsia" w:ascii="仿宋" w:hAnsi="仿宋" w:eastAsia="仿宋"/>
          <w:sz w:val="32"/>
          <w:szCs w:val="32"/>
        </w:rPr>
        <w:t>万元</w:t>
      </w:r>
      <w:r>
        <w:rPr>
          <w:rFonts w:hint="eastAsia" w:ascii="仿宋" w:hAnsi="仿宋" w:eastAsia="仿宋" w:cs="仿宋_GB2312"/>
          <w:kern w:val="0"/>
          <w:sz w:val="32"/>
          <w:szCs w:val="32"/>
        </w:rPr>
        <w:t>，</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0.03</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本年度人员经费增加</w:t>
      </w:r>
      <w:r>
        <w:rPr>
          <w:rFonts w:hint="eastAsia" w:ascii="仿宋" w:hAnsi="仿宋" w:eastAsia="仿宋" w:cs="仿宋_GB2312"/>
          <w:sz w:val="32"/>
          <w:szCs w:val="32"/>
        </w:rPr>
        <w:t>。按照党中央、国务院和省委、省政府关于过紧日子的有关要求，厉行节约办一切事业，大力压减一般性支出，重点压减了公用经费和培训等项目支出中涉及的非急需非刚性支出，同时合理保障了</w:t>
      </w:r>
      <w:r>
        <w:rPr>
          <w:rFonts w:hint="eastAsia" w:ascii="仿宋" w:hAnsi="仿宋" w:eastAsia="仿宋"/>
          <w:sz w:val="32"/>
        </w:rPr>
        <w:t>单用途预付卡领域,家政服务业领域商务执法</w:t>
      </w:r>
      <w:r>
        <w:rPr>
          <w:rFonts w:hint="eastAsia" w:ascii="仿宋" w:hAnsi="仿宋" w:eastAsia="仿宋" w:cs="仿宋_GB2312"/>
          <w:sz w:val="32"/>
          <w:szCs w:val="32"/>
        </w:rPr>
        <w:t>等工作的支出需求，体现在有关支出科目中。</w:t>
      </w:r>
      <w:r>
        <w:rPr>
          <w:rFonts w:hint="eastAsia" w:ascii="仿宋" w:hAnsi="仿宋" w:eastAsia="仿宋" w:cs="宋体"/>
          <w:bCs/>
          <w:sz w:val="32"/>
          <w:szCs w:val="32"/>
        </w:rPr>
        <w:t>其中</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（一）2011350-事业运行</w:t>
      </w:r>
      <w:r>
        <w:rPr>
          <w:rFonts w:hint="eastAsia" w:ascii="仿宋" w:hAnsi="仿宋" w:eastAsia="仿宋" w:cs="仿宋_GB2312"/>
          <w:sz w:val="32"/>
          <w:szCs w:val="32"/>
          <w:lang w:val="en-US" w:eastAsia="zh-CN"/>
        </w:rPr>
        <w:t>154.01</w:t>
      </w:r>
      <w:r>
        <w:rPr>
          <w:rFonts w:hint="eastAsia" w:ascii="仿宋" w:hAnsi="仿宋" w:eastAsia="仿宋" w:cs="仿宋_GB2312"/>
          <w:sz w:val="32"/>
          <w:szCs w:val="32"/>
        </w:rPr>
        <w:t>万元。主要用于</w:t>
      </w:r>
      <w:r>
        <w:rPr>
          <w:rFonts w:hint="eastAsia" w:ascii="仿宋" w:hAnsi="仿宋" w:eastAsia="仿宋"/>
          <w:sz w:val="32"/>
        </w:rPr>
        <w:t>大队</w:t>
      </w:r>
      <w:r>
        <w:rPr>
          <w:rFonts w:ascii="仿宋" w:hAnsi="仿宋" w:eastAsia="仿宋"/>
          <w:color w:val="000000"/>
          <w:kern w:val="0"/>
          <w:sz w:val="31"/>
        </w:rPr>
        <w:t>人员工资福利以及日常工作事务经费</w:t>
      </w:r>
      <w:r>
        <w:rPr>
          <w:rFonts w:hint="eastAsia" w:ascii="仿宋" w:hAnsi="仿宋" w:eastAsia="仿宋"/>
          <w:sz w:val="32"/>
        </w:rPr>
        <w:t>支出</w:t>
      </w:r>
      <w:r>
        <w:rPr>
          <w:rFonts w:hint="eastAsia" w:ascii="仿宋" w:hAnsi="仿宋" w:eastAsia="仿宋" w:cs="仿宋_GB2312"/>
          <w:sz w:val="32"/>
          <w:szCs w:val="32"/>
        </w:rPr>
        <w:t>。</w:t>
      </w:r>
    </w:p>
    <w:p>
      <w:pPr>
        <w:tabs>
          <w:tab w:val="left" w:pos="7513"/>
        </w:tabs>
        <w:adjustRightInd w:val="0"/>
        <w:snapToGrid w:val="0"/>
        <w:spacing w:line="600" w:lineRule="exact"/>
        <w:outlineLvl w:val="1"/>
        <w:rPr>
          <w:rFonts w:ascii="黑体" w:hAnsi="黑体" w:eastAsia="黑体"/>
          <w:sz w:val="32"/>
          <w:szCs w:val="32"/>
        </w:rPr>
      </w:pPr>
      <w:bookmarkStart w:id="20" w:name="_Toc1579"/>
      <w:r>
        <w:rPr>
          <w:rFonts w:hint="eastAsia" w:ascii="黑体" w:hAnsi="黑体" w:eastAsia="黑体"/>
          <w:sz w:val="32"/>
          <w:szCs w:val="32"/>
        </w:rPr>
        <w:t>三、政府性基金预算拨款支出情况</w:t>
      </w:r>
      <w:bookmarkEnd w:id="20"/>
    </w:p>
    <w:p>
      <w:pPr>
        <w:tabs>
          <w:tab w:val="left" w:pos="7513"/>
        </w:tabs>
        <w:adjustRightInd w:val="0"/>
        <w:snapToGrid w:val="0"/>
        <w:spacing w:line="600" w:lineRule="exact"/>
        <w:ind w:firstLine="800" w:firstLineChars="250"/>
        <w:rPr>
          <w:rFonts w:hint="eastAsia" w:ascii="仿宋" w:hAnsi="仿宋" w:eastAsia="仿宋" w:cs="仿宋_GB2312"/>
          <w:sz w:val="32"/>
          <w:szCs w:val="32"/>
        </w:rPr>
      </w:pPr>
      <w:r>
        <w:rPr>
          <w:rFonts w:hint="eastAsia" w:ascii="仿宋" w:hAnsi="仿宋" w:eastAsia="仿宋" w:cs="仿宋_GB2312"/>
          <w:sz w:val="32"/>
          <w:szCs w:val="32"/>
        </w:rPr>
        <w:t>本部门</w:t>
      </w:r>
      <w:r>
        <w:rPr>
          <w:rFonts w:hint="eastAsia" w:ascii="仿宋" w:hAnsi="仿宋" w:eastAsia="仿宋" w:cs="仿宋_GB2312"/>
          <w:sz w:val="32"/>
          <w:szCs w:val="32"/>
          <w:lang w:val="en-US" w:eastAsia="zh-CN"/>
        </w:rPr>
        <w:t>2024年</w:t>
      </w:r>
      <w:r>
        <w:rPr>
          <w:rFonts w:hint="eastAsia" w:ascii="仿宋" w:hAnsi="仿宋" w:eastAsia="仿宋" w:cs="仿宋_GB2312"/>
          <w:sz w:val="32"/>
          <w:szCs w:val="32"/>
        </w:rPr>
        <w:t>度没有使用政府性基金预算拨款安排的支出。</w:t>
      </w:r>
    </w:p>
    <w:p>
      <w:pPr>
        <w:tabs>
          <w:tab w:val="left" w:pos="7513"/>
        </w:tabs>
        <w:adjustRightInd w:val="0"/>
        <w:snapToGrid w:val="0"/>
        <w:spacing w:line="600" w:lineRule="exact"/>
        <w:ind w:firstLine="640" w:firstLineChars="200"/>
        <w:outlineLvl w:val="1"/>
        <w:rPr>
          <w:rFonts w:ascii="黑体" w:hAnsi="黑体" w:eastAsia="黑体" w:cs="仿宋_GB2312"/>
          <w:bCs/>
          <w:sz w:val="32"/>
          <w:szCs w:val="32"/>
        </w:rPr>
      </w:pPr>
      <w:bookmarkStart w:id="21" w:name="_Toc30545"/>
      <w:r>
        <w:rPr>
          <w:rFonts w:hint="eastAsia" w:ascii="黑体" w:hAnsi="黑体" w:eastAsia="黑体" w:cs="仿宋_GB2312"/>
          <w:bCs/>
          <w:sz w:val="32"/>
          <w:szCs w:val="32"/>
        </w:rPr>
        <w:t>四、国有资本经营预算拨款支出情况</w:t>
      </w:r>
      <w:bookmarkEnd w:id="21"/>
    </w:p>
    <w:p>
      <w:pPr>
        <w:tabs>
          <w:tab w:val="left" w:pos="7513"/>
        </w:tabs>
        <w:adjustRightInd w:val="0"/>
        <w:snapToGrid w:val="0"/>
        <w:spacing w:line="600" w:lineRule="exact"/>
        <w:ind w:firstLine="800" w:firstLineChars="250"/>
        <w:rPr>
          <w:rFonts w:hint="eastAsia" w:ascii="仿宋" w:hAnsi="仿宋" w:eastAsia="仿宋" w:cs="仿宋_GB2312"/>
          <w:sz w:val="32"/>
          <w:szCs w:val="32"/>
        </w:rPr>
      </w:pPr>
      <w:r>
        <w:rPr>
          <w:rFonts w:hint="eastAsia" w:ascii="仿宋" w:hAnsi="仿宋" w:eastAsia="仿宋" w:cs="仿宋_GB2312"/>
          <w:sz w:val="32"/>
          <w:szCs w:val="32"/>
        </w:rPr>
        <w:t>本部门</w:t>
      </w:r>
      <w:r>
        <w:rPr>
          <w:rFonts w:hint="eastAsia" w:ascii="仿宋" w:hAnsi="仿宋" w:eastAsia="仿宋" w:cs="仿宋_GB2312"/>
          <w:sz w:val="32"/>
          <w:szCs w:val="32"/>
          <w:lang w:val="en-US" w:eastAsia="zh-CN"/>
        </w:rPr>
        <w:t>2024年</w:t>
      </w:r>
      <w:r>
        <w:rPr>
          <w:rFonts w:hint="eastAsia" w:ascii="仿宋" w:hAnsi="仿宋" w:eastAsia="仿宋" w:cs="仿宋_GB2312"/>
          <w:sz w:val="32"/>
          <w:szCs w:val="32"/>
        </w:rPr>
        <w:t>度没有使用国有资本经营预算拨款安排的支出。</w:t>
      </w:r>
    </w:p>
    <w:p>
      <w:pPr>
        <w:tabs>
          <w:tab w:val="left" w:pos="7513"/>
        </w:tabs>
        <w:adjustRightInd w:val="0"/>
        <w:snapToGrid w:val="0"/>
        <w:spacing w:line="600" w:lineRule="exact"/>
        <w:outlineLvl w:val="1"/>
        <w:rPr>
          <w:rFonts w:ascii="黑体" w:hAnsi="黑体" w:eastAsia="黑体"/>
          <w:sz w:val="32"/>
          <w:szCs w:val="32"/>
        </w:rPr>
      </w:pPr>
      <w:bookmarkStart w:id="22" w:name="_Toc26737"/>
      <w:r>
        <w:rPr>
          <w:rFonts w:hint="eastAsia" w:ascii="黑体" w:hAnsi="黑体" w:eastAsia="黑体"/>
          <w:sz w:val="32"/>
          <w:szCs w:val="32"/>
        </w:rPr>
        <w:t>五、一般公共预算拨款基本支出情况</w:t>
      </w:r>
      <w:bookmarkEnd w:id="22"/>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2024年</w:t>
      </w:r>
      <w:r>
        <w:rPr>
          <w:rFonts w:hint="eastAsia" w:ascii="仿宋" w:hAnsi="仿宋" w:eastAsia="仿宋" w:cs="仿宋_GB2312"/>
          <w:sz w:val="32"/>
          <w:szCs w:val="32"/>
        </w:rPr>
        <w:t>度一般公共预算拨款基本支出</w:t>
      </w:r>
      <w:r>
        <w:rPr>
          <w:rFonts w:hint="eastAsia" w:ascii="仿宋" w:hAnsi="仿宋" w:eastAsia="仿宋" w:cs="仿宋_GB2312"/>
          <w:sz w:val="32"/>
          <w:szCs w:val="32"/>
          <w:lang w:val="en-US" w:eastAsia="zh-CN"/>
        </w:rPr>
        <w:t>154.01</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141.58</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12.43</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outlineLvl w:val="1"/>
        <w:rPr>
          <w:rFonts w:ascii="黑体" w:hAnsi="黑体" w:eastAsia="黑体"/>
          <w:sz w:val="32"/>
          <w:szCs w:val="32"/>
        </w:rPr>
      </w:pPr>
      <w:bookmarkStart w:id="23" w:name="_Toc15949"/>
      <w:r>
        <w:rPr>
          <w:rFonts w:hint="eastAsia" w:ascii="黑体" w:hAnsi="黑体" w:eastAsia="黑体"/>
          <w:sz w:val="32"/>
          <w:szCs w:val="32"/>
        </w:rPr>
        <w:t>六、一般公共预算“三公”经费支出情况</w:t>
      </w:r>
      <w:bookmarkEnd w:id="23"/>
    </w:p>
    <w:p>
      <w:pPr>
        <w:widowControl/>
        <w:adjustRightInd w:val="0"/>
        <w:snapToGrid w:val="0"/>
        <w:spacing w:line="600" w:lineRule="exact"/>
        <w:ind w:firstLine="660"/>
        <w:outlineLvl w:val="2"/>
        <w:rPr>
          <w:rFonts w:ascii="楷体" w:hAnsi="楷体" w:eastAsia="楷体" w:cs="宋体"/>
          <w:b/>
          <w:bCs/>
          <w:kern w:val="0"/>
          <w:sz w:val="32"/>
          <w:szCs w:val="32"/>
        </w:rPr>
      </w:pPr>
      <w:bookmarkStart w:id="24" w:name="_Toc7217"/>
      <w:r>
        <w:rPr>
          <w:rFonts w:hint="eastAsia" w:ascii="楷体" w:hAnsi="楷体" w:eastAsia="楷体"/>
          <w:b/>
          <w:sz w:val="32"/>
          <w:szCs w:val="32"/>
        </w:rPr>
        <w:t>（一）</w:t>
      </w:r>
      <w:r>
        <w:rPr>
          <w:rFonts w:hint="eastAsia" w:ascii="楷体" w:hAnsi="楷体" w:eastAsia="楷体" w:cs="宋体"/>
          <w:b/>
          <w:bCs/>
          <w:kern w:val="0"/>
          <w:sz w:val="32"/>
          <w:szCs w:val="32"/>
        </w:rPr>
        <w:t>因公出国（境）经费</w:t>
      </w:r>
      <w:bookmarkEnd w:id="24"/>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2024年</w:t>
      </w:r>
      <w:r>
        <w:rPr>
          <w:rFonts w:hint="eastAsia" w:ascii="仿宋" w:hAnsi="仿宋" w:eastAsia="仿宋"/>
          <w:kern w:val="0"/>
          <w:sz w:val="32"/>
        </w:rPr>
        <w:t>预算安排0万元。与上年持平</w:t>
      </w:r>
      <w:r>
        <w:rPr>
          <w:rFonts w:hint="eastAsia" w:ascii="仿宋" w:hAnsi="仿宋" w:eastAsia="仿宋"/>
          <w:sz w:val="32"/>
        </w:rPr>
        <w:t>，主要原因是</w:t>
      </w:r>
      <w:r>
        <w:rPr>
          <w:rFonts w:ascii="仿宋" w:hAnsi="仿宋" w:eastAsia="仿宋"/>
          <w:sz w:val="32"/>
        </w:rPr>
        <w:t>:</w:t>
      </w:r>
      <w:r>
        <w:rPr>
          <w:rFonts w:hint="eastAsia" w:ascii="仿宋" w:hAnsi="仿宋" w:eastAsia="仿宋"/>
          <w:sz w:val="32"/>
        </w:rPr>
        <w:t>本年度无因公出国（境）计划</w:t>
      </w:r>
      <w:r>
        <w:rPr>
          <w:rFonts w:hint="eastAsia" w:ascii="仿宋" w:hAnsi="仿宋" w:eastAsia="仿宋" w:cs="仿宋_GB2312"/>
          <w:sz w:val="32"/>
          <w:szCs w:val="32"/>
        </w:rPr>
        <w:t>。</w:t>
      </w:r>
    </w:p>
    <w:p>
      <w:pPr>
        <w:widowControl/>
        <w:adjustRightInd w:val="0"/>
        <w:snapToGrid w:val="0"/>
        <w:spacing w:line="600" w:lineRule="exact"/>
        <w:ind w:firstLine="660"/>
        <w:outlineLvl w:val="2"/>
        <w:rPr>
          <w:rFonts w:ascii="楷体" w:hAnsi="楷体" w:eastAsia="楷体" w:cs="宋体"/>
          <w:b/>
          <w:bCs/>
          <w:kern w:val="0"/>
          <w:sz w:val="32"/>
          <w:szCs w:val="32"/>
        </w:rPr>
      </w:pPr>
      <w:bookmarkStart w:id="25" w:name="_Toc4748"/>
      <w:r>
        <w:rPr>
          <w:rFonts w:hint="eastAsia" w:ascii="楷体" w:hAnsi="楷体" w:eastAsia="楷体"/>
          <w:b/>
          <w:sz w:val="32"/>
          <w:szCs w:val="32"/>
        </w:rPr>
        <w:t>（二）</w:t>
      </w:r>
      <w:r>
        <w:rPr>
          <w:rFonts w:hint="eastAsia" w:ascii="楷体" w:hAnsi="楷体" w:eastAsia="楷体" w:cs="宋体"/>
          <w:b/>
          <w:bCs/>
          <w:kern w:val="0"/>
          <w:sz w:val="32"/>
          <w:szCs w:val="32"/>
        </w:rPr>
        <w:t>公务接待费</w:t>
      </w:r>
      <w:bookmarkEnd w:id="25"/>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kern w:val="0"/>
          <w:sz w:val="32"/>
          <w:lang w:val="en-US" w:eastAsia="zh-CN"/>
        </w:rPr>
        <w:t>2024年</w:t>
      </w:r>
      <w:r>
        <w:rPr>
          <w:rFonts w:hint="eastAsia" w:ascii="仿宋" w:hAnsi="仿宋" w:eastAsia="仿宋"/>
          <w:kern w:val="0"/>
          <w:sz w:val="32"/>
        </w:rPr>
        <w:t>预算安排0万元。与上年持平</w:t>
      </w:r>
      <w:r>
        <w:rPr>
          <w:rFonts w:hint="eastAsia" w:ascii="仿宋" w:hAnsi="仿宋" w:eastAsia="仿宋"/>
          <w:sz w:val="32"/>
        </w:rPr>
        <w:t>，主要原因是</w:t>
      </w:r>
      <w:r>
        <w:rPr>
          <w:rFonts w:ascii="仿宋" w:hAnsi="仿宋" w:eastAsia="仿宋"/>
          <w:sz w:val="32"/>
        </w:rPr>
        <w:t>:</w:t>
      </w:r>
      <w:r>
        <w:rPr>
          <w:rFonts w:hint="eastAsia" w:ascii="仿宋" w:hAnsi="仿宋" w:eastAsia="仿宋"/>
          <w:sz w:val="32"/>
        </w:rPr>
        <w:t>本年度无公务接待计划</w:t>
      </w:r>
      <w:r>
        <w:rPr>
          <w:rFonts w:hint="eastAsia" w:ascii="仿宋" w:hAnsi="仿宋" w:eastAsia="仿宋" w:cs="仿宋_GB2312"/>
          <w:sz w:val="32"/>
          <w:szCs w:val="32"/>
        </w:rPr>
        <w:t>。</w:t>
      </w:r>
    </w:p>
    <w:p>
      <w:pPr>
        <w:adjustRightInd w:val="0"/>
        <w:snapToGrid w:val="0"/>
        <w:spacing w:line="600" w:lineRule="exact"/>
        <w:ind w:firstLine="643" w:firstLineChars="200"/>
        <w:outlineLvl w:val="2"/>
        <w:rPr>
          <w:rFonts w:ascii="楷体" w:hAnsi="楷体" w:eastAsia="楷体" w:cs="宋体"/>
          <w:b/>
          <w:bCs/>
          <w:kern w:val="0"/>
          <w:sz w:val="32"/>
          <w:szCs w:val="32"/>
        </w:rPr>
      </w:pPr>
      <w:bookmarkStart w:id="26" w:name="_Toc13339"/>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bookmarkEnd w:id="26"/>
    </w:p>
    <w:p>
      <w:pPr>
        <w:adjustRightInd w:val="0"/>
        <w:snapToGrid w:val="0"/>
        <w:spacing w:line="600" w:lineRule="exact"/>
        <w:ind w:firstLine="640" w:firstLineChars="200"/>
        <w:rPr>
          <w:rFonts w:ascii="仿宋" w:hAnsi="仿宋" w:eastAsia="仿宋"/>
          <w:sz w:val="32"/>
        </w:rPr>
      </w:pPr>
      <w:r>
        <w:rPr>
          <w:rFonts w:hint="eastAsia" w:ascii="仿宋" w:hAnsi="仿宋" w:eastAsia="仿宋" w:cs="仿宋_GB2312"/>
          <w:kern w:val="0"/>
          <w:sz w:val="32"/>
          <w:szCs w:val="32"/>
          <w:lang w:val="en-US" w:eastAsia="zh-CN"/>
        </w:rPr>
        <w:t>2024年</w:t>
      </w:r>
      <w:r>
        <w:rPr>
          <w:rFonts w:hint="eastAsia" w:ascii="仿宋" w:hAnsi="仿宋" w:eastAsia="仿宋"/>
          <w:kern w:val="0"/>
          <w:sz w:val="32"/>
        </w:rPr>
        <w:t>预算安排0万元，其中：公车运行费0万元，公车购置费0万元。与上年持平</w:t>
      </w:r>
      <w:r>
        <w:rPr>
          <w:rFonts w:hint="eastAsia" w:ascii="仿宋" w:hAnsi="仿宋" w:eastAsia="仿宋"/>
          <w:sz w:val="32"/>
        </w:rPr>
        <w:t>，主要原因是</w:t>
      </w:r>
      <w:r>
        <w:rPr>
          <w:rFonts w:ascii="仿宋" w:hAnsi="仿宋" w:eastAsia="仿宋"/>
          <w:sz w:val="32"/>
        </w:rPr>
        <w:t>:</w:t>
      </w:r>
      <w:r>
        <w:rPr>
          <w:rFonts w:hint="eastAsia" w:ascii="仿宋" w:hAnsi="仿宋" w:eastAsia="仿宋"/>
          <w:sz w:val="32"/>
        </w:rPr>
        <w:t>本单位无公务车辆及购置计划。</w:t>
      </w:r>
    </w:p>
    <w:p>
      <w:pPr>
        <w:adjustRightInd w:val="0"/>
        <w:snapToGrid w:val="0"/>
        <w:spacing w:line="600" w:lineRule="exact"/>
        <w:ind w:firstLine="640" w:firstLineChars="200"/>
        <w:rPr>
          <w:rFonts w:ascii="仿宋" w:hAnsi="仿宋" w:eastAsia="仿宋"/>
          <w:sz w:val="32"/>
          <w:szCs w:val="32"/>
        </w:rPr>
      </w:pPr>
    </w:p>
    <w:p>
      <w:pPr>
        <w:spacing w:line="600" w:lineRule="exact"/>
        <w:outlineLvl w:val="1"/>
        <w:rPr>
          <w:rFonts w:ascii="黑体" w:hAnsi="黑体" w:eastAsia="黑体"/>
          <w:sz w:val="32"/>
          <w:szCs w:val="32"/>
        </w:rPr>
      </w:pPr>
      <w:bookmarkStart w:id="27" w:name="_Toc25470"/>
      <w:r>
        <w:rPr>
          <w:rFonts w:hint="eastAsia" w:ascii="黑体" w:hAnsi="黑体" w:eastAsia="黑体"/>
          <w:sz w:val="32"/>
          <w:szCs w:val="32"/>
        </w:rPr>
        <w:t>七、预算绩效目标情况</w:t>
      </w:r>
      <w:bookmarkEnd w:id="27"/>
    </w:p>
    <w:p>
      <w:pPr>
        <w:adjustRightInd w:val="0"/>
        <w:snapToGrid w:val="0"/>
        <w:spacing w:line="600" w:lineRule="exact"/>
        <w:ind w:firstLine="640" w:firstLineChars="200"/>
        <w:rPr>
          <w:rFonts w:hint="eastAsia" w:ascii="仿宋" w:hAnsi="仿宋" w:eastAsia="仿宋"/>
          <w:kern w:val="0"/>
          <w:sz w:val="32"/>
        </w:rPr>
      </w:pPr>
      <w:r>
        <w:rPr>
          <w:rFonts w:hint="eastAsia" w:ascii="仿宋" w:hAnsi="仿宋" w:eastAsia="仿宋"/>
          <w:kern w:val="0"/>
          <w:sz w:val="32"/>
        </w:rPr>
        <w:t>本部门无其他需要说明的绩效目标情况。</w:t>
      </w:r>
    </w:p>
    <w:p>
      <w:pPr>
        <w:spacing w:line="600" w:lineRule="exact"/>
        <w:outlineLvl w:val="1"/>
        <w:rPr>
          <w:rFonts w:ascii="黑体" w:hAnsi="黑体" w:eastAsia="黑体"/>
          <w:sz w:val="32"/>
          <w:szCs w:val="32"/>
        </w:rPr>
      </w:pPr>
      <w:bookmarkStart w:id="28" w:name="_Toc29523"/>
      <w:r>
        <w:rPr>
          <w:rFonts w:hint="eastAsia" w:ascii="黑体" w:hAnsi="黑体" w:eastAsia="黑体"/>
          <w:sz w:val="32"/>
          <w:szCs w:val="32"/>
        </w:rPr>
        <w:t>八、其他重要事项说明</w:t>
      </w:r>
      <w:bookmarkEnd w:id="28"/>
    </w:p>
    <w:p>
      <w:pPr>
        <w:spacing w:line="600" w:lineRule="exact"/>
        <w:ind w:firstLine="643" w:firstLineChars="200"/>
        <w:outlineLvl w:val="2"/>
        <w:rPr>
          <w:rFonts w:ascii="楷体" w:hAnsi="楷体" w:eastAsia="楷体"/>
          <w:b/>
          <w:sz w:val="32"/>
          <w:szCs w:val="32"/>
        </w:rPr>
      </w:pPr>
      <w:bookmarkStart w:id="29" w:name="_Toc6986"/>
      <w:r>
        <w:rPr>
          <w:rFonts w:hint="eastAsia" w:ascii="楷体" w:hAnsi="楷体" w:eastAsia="楷体"/>
          <w:b/>
          <w:sz w:val="32"/>
          <w:szCs w:val="32"/>
        </w:rPr>
        <w:t>（一）机关运行经费</w:t>
      </w:r>
      <w:bookmarkEnd w:id="29"/>
    </w:p>
    <w:p>
      <w:pPr>
        <w:spacing w:line="600" w:lineRule="exact"/>
        <w:ind w:firstLine="640" w:firstLineChars="200"/>
        <w:rPr>
          <w:rFonts w:ascii="楷体" w:hAnsi="楷体" w:eastAsia="楷体"/>
          <w:sz w:val="32"/>
          <w:szCs w:val="32"/>
        </w:rPr>
      </w:pPr>
      <w:r>
        <w:rPr>
          <w:rFonts w:hint="eastAsia" w:ascii="仿宋" w:hAnsi="仿宋" w:eastAsia="仿宋"/>
          <w:kern w:val="0"/>
          <w:sz w:val="32"/>
        </w:rPr>
        <w:t>本单位为事业单位，无机关运行经费。</w:t>
      </w:r>
    </w:p>
    <w:p>
      <w:pPr>
        <w:spacing w:line="600" w:lineRule="exact"/>
        <w:ind w:firstLine="643" w:firstLineChars="200"/>
        <w:outlineLvl w:val="2"/>
        <w:rPr>
          <w:rFonts w:ascii="楷体" w:hAnsi="楷体" w:eastAsia="楷体"/>
          <w:b/>
          <w:sz w:val="32"/>
          <w:szCs w:val="32"/>
        </w:rPr>
      </w:pPr>
      <w:bookmarkStart w:id="30" w:name="_Toc18606"/>
      <w:r>
        <w:rPr>
          <w:rFonts w:hint="eastAsia" w:ascii="楷体" w:hAnsi="楷体" w:eastAsia="楷体"/>
          <w:b/>
          <w:sz w:val="32"/>
          <w:szCs w:val="32"/>
        </w:rPr>
        <w:t>（二）政府采购情况</w:t>
      </w:r>
      <w:bookmarkEnd w:id="30"/>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本部门</w:t>
      </w:r>
      <w:r>
        <w:rPr>
          <w:rFonts w:hint="eastAsia" w:ascii="仿宋" w:hAnsi="仿宋" w:eastAsia="仿宋"/>
          <w:sz w:val="32"/>
          <w:szCs w:val="32"/>
          <w:lang w:val="en-US" w:eastAsia="zh-CN"/>
        </w:rPr>
        <w:t>2024年</w:t>
      </w:r>
      <w:r>
        <w:rPr>
          <w:rFonts w:hint="eastAsia" w:ascii="仿宋" w:hAnsi="仿宋" w:eastAsia="仿宋"/>
          <w:sz w:val="32"/>
          <w:szCs w:val="32"/>
        </w:rPr>
        <w:t>度没有政府采购预算。</w:t>
      </w:r>
    </w:p>
    <w:p>
      <w:pPr>
        <w:spacing w:line="600" w:lineRule="exact"/>
        <w:ind w:firstLine="643" w:firstLineChars="200"/>
        <w:outlineLvl w:val="2"/>
        <w:rPr>
          <w:rFonts w:ascii="楷体" w:hAnsi="楷体" w:eastAsia="楷体"/>
          <w:b/>
          <w:sz w:val="32"/>
          <w:szCs w:val="32"/>
        </w:rPr>
      </w:pPr>
      <w:bookmarkStart w:id="31" w:name="_Toc3475"/>
      <w:r>
        <w:rPr>
          <w:rFonts w:hint="eastAsia" w:ascii="楷体" w:hAnsi="楷体" w:eastAsia="楷体"/>
          <w:b/>
          <w:sz w:val="32"/>
          <w:szCs w:val="32"/>
        </w:rPr>
        <w:t>（三）国有资产占用使用情况</w:t>
      </w:r>
      <w:bookmarkEnd w:id="31"/>
    </w:p>
    <w:p>
      <w:pPr>
        <w:spacing w:line="600" w:lineRule="exact"/>
        <w:ind w:firstLine="640" w:firstLineChars="200"/>
        <w:rPr>
          <w:rFonts w:ascii="仿宋" w:hAnsi="仿宋" w:eastAsia="仿宋"/>
          <w:kern w:val="0"/>
          <w:sz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年12月31日，</w:t>
      </w:r>
      <w:r>
        <w:rPr>
          <w:rFonts w:hint="eastAsia" w:ascii="仿宋" w:hAnsi="仿宋" w:eastAsia="仿宋"/>
          <w:kern w:val="0"/>
          <w:sz w:val="32"/>
        </w:rPr>
        <w:t>鼓楼区商务综合行政执法大队</w:t>
      </w:r>
      <w:r>
        <w:rPr>
          <w:rFonts w:hint="eastAsia" w:ascii="仿宋" w:hAnsi="仿宋" w:eastAsia="仿宋"/>
          <w:sz w:val="32"/>
        </w:rPr>
        <w:t>部门本级及所属的预算单位共有车辆</w:t>
      </w:r>
      <w:r>
        <w:rPr>
          <w:rFonts w:hint="eastAsia" w:ascii="仿宋" w:hAnsi="仿宋" w:eastAsia="仿宋"/>
          <w:kern w:val="0"/>
          <w:sz w:val="32"/>
        </w:rPr>
        <w:t>0</w:t>
      </w:r>
      <w:r>
        <w:rPr>
          <w:rFonts w:hint="eastAsia" w:ascii="仿宋" w:hAnsi="仿宋" w:eastAsia="仿宋"/>
          <w:sz w:val="32"/>
        </w:rPr>
        <w:t>辆，其中：省部级领导干部用车</w:t>
      </w:r>
      <w:r>
        <w:rPr>
          <w:rFonts w:hint="eastAsia" w:ascii="仿宋" w:hAnsi="仿宋" w:eastAsia="仿宋"/>
          <w:kern w:val="0"/>
          <w:sz w:val="32"/>
        </w:rPr>
        <w:t>0</w:t>
      </w:r>
      <w:r>
        <w:rPr>
          <w:rFonts w:hint="eastAsia" w:ascii="仿宋" w:hAnsi="仿宋" w:eastAsia="仿宋"/>
          <w:sz w:val="32"/>
        </w:rPr>
        <w:t>辆，一般公务用车</w:t>
      </w:r>
      <w:r>
        <w:rPr>
          <w:rFonts w:hint="eastAsia" w:ascii="仿宋" w:hAnsi="仿宋" w:eastAsia="仿宋"/>
          <w:kern w:val="0"/>
          <w:sz w:val="32"/>
        </w:rPr>
        <w:t>0</w:t>
      </w:r>
      <w:r>
        <w:rPr>
          <w:rFonts w:hint="eastAsia" w:ascii="仿宋" w:hAnsi="仿宋" w:eastAsia="仿宋"/>
          <w:sz w:val="32"/>
        </w:rPr>
        <w:t>辆，一般执法执勤用车</w:t>
      </w:r>
      <w:r>
        <w:rPr>
          <w:rFonts w:hint="eastAsia" w:ascii="仿宋" w:hAnsi="仿宋" w:eastAsia="仿宋"/>
          <w:kern w:val="0"/>
          <w:sz w:val="32"/>
        </w:rPr>
        <w:t>0</w:t>
      </w:r>
      <w:r>
        <w:rPr>
          <w:rFonts w:hint="eastAsia" w:ascii="仿宋" w:hAnsi="仿宋" w:eastAsia="仿宋"/>
          <w:sz w:val="32"/>
        </w:rPr>
        <w:t>辆，特种专业技术用车</w:t>
      </w:r>
      <w:r>
        <w:rPr>
          <w:rFonts w:hint="eastAsia" w:ascii="仿宋" w:hAnsi="仿宋" w:eastAsia="仿宋"/>
          <w:kern w:val="0"/>
          <w:sz w:val="32"/>
        </w:rPr>
        <w:t>0</w:t>
      </w:r>
      <w:r>
        <w:rPr>
          <w:rFonts w:hint="eastAsia" w:ascii="仿宋" w:hAnsi="仿宋" w:eastAsia="仿宋"/>
          <w:sz w:val="32"/>
        </w:rPr>
        <w:t>辆，其他用车</w:t>
      </w:r>
      <w:r>
        <w:rPr>
          <w:rFonts w:hint="eastAsia" w:ascii="仿宋" w:hAnsi="仿宋" w:eastAsia="仿宋"/>
          <w:kern w:val="0"/>
          <w:sz w:val="32"/>
        </w:rPr>
        <w:t>0</w:t>
      </w:r>
      <w:r>
        <w:rPr>
          <w:rFonts w:hint="eastAsia" w:ascii="仿宋" w:hAnsi="仿宋" w:eastAsia="仿宋"/>
          <w:sz w:val="32"/>
        </w:rPr>
        <w:t>辆。单位价值</w:t>
      </w:r>
      <w:r>
        <w:rPr>
          <w:rFonts w:ascii="仿宋" w:hAnsi="仿宋" w:eastAsia="仿宋"/>
          <w:sz w:val="32"/>
        </w:rPr>
        <w:t>50</w:t>
      </w:r>
      <w:r>
        <w:rPr>
          <w:rFonts w:hint="eastAsia" w:ascii="仿宋" w:hAnsi="仿宋" w:eastAsia="仿宋"/>
          <w:sz w:val="32"/>
        </w:rPr>
        <w:t>万元以上通用设备</w:t>
      </w:r>
      <w:r>
        <w:rPr>
          <w:rFonts w:hint="eastAsia" w:ascii="仿宋" w:hAnsi="仿宋" w:eastAsia="仿宋"/>
          <w:kern w:val="0"/>
          <w:sz w:val="32"/>
        </w:rPr>
        <w:t>0台（套），</w:t>
      </w:r>
      <w:r>
        <w:rPr>
          <w:rFonts w:hint="eastAsia" w:ascii="仿宋" w:hAnsi="仿宋" w:eastAsia="仿宋"/>
          <w:sz w:val="32"/>
        </w:rPr>
        <w:t>单位价值</w:t>
      </w:r>
      <w:r>
        <w:rPr>
          <w:rFonts w:ascii="仿宋" w:hAnsi="仿宋" w:eastAsia="仿宋"/>
          <w:sz w:val="32"/>
        </w:rPr>
        <w:t>100</w:t>
      </w:r>
      <w:r>
        <w:rPr>
          <w:rFonts w:hint="eastAsia" w:ascii="仿宋" w:hAnsi="仿宋" w:eastAsia="仿宋"/>
          <w:sz w:val="32"/>
        </w:rPr>
        <w:t>万元以上专用设备</w:t>
      </w:r>
      <w:r>
        <w:rPr>
          <w:rFonts w:hint="eastAsia" w:ascii="仿宋" w:hAnsi="仿宋" w:eastAsia="仿宋"/>
          <w:kern w:val="0"/>
          <w:sz w:val="32"/>
        </w:rPr>
        <w:t>0台（套）。</w:t>
      </w:r>
    </w:p>
    <w:p>
      <w:pPr>
        <w:ind w:firstLine="640" w:firstLineChars="200"/>
        <w:rPr>
          <w:rFonts w:ascii="仿宋" w:hAnsi="仿宋" w:eastAsia="仿宋" w:cs="楷体"/>
          <w:kern w:val="0"/>
          <w:sz w:val="32"/>
          <w:szCs w:val="32"/>
        </w:rPr>
      </w:pP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outlineLvl w:val="0"/>
        <w:rPr>
          <w:rFonts w:ascii="黑体" w:hAnsi="黑体" w:eastAsia="黑体"/>
          <w:sz w:val="56"/>
        </w:rPr>
      </w:pPr>
      <w:bookmarkStart w:id="32" w:name="_Toc24804"/>
      <w:r>
        <w:rPr>
          <w:rFonts w:hint="eastAsia" w:ascii="黑体" w:hAnsi="黑体" w:eastAsia="黑体"/>
          <w:sz w:val="56"/>
        </w:rPr>
        <w:t>第四部分</w:t>
      </w:r>
      <w:r>
        <w:rPr>
          <w:rFonts w:hint="eastAsia" w:ascii="黑体" w:hAnsi="黑体" w:eastAsia="黑体"/>
          <w:sz w:val="56"/>
          <w:lang w:val="en-US" w:eastAsia="zh-CN"/>
        </w:rPr>
        <w:t xml:space="preserve">  </w:t>
      </w:r>
      <w:r>
        <w:rPr>
          <w:rFonts w:hint="eastAsia" w:ascii="黑体" w:hAnsi="黑体" w:eastAsia="黑体"/>
          <w:sz w:val="56"/>
        </w:rPr>
        <w:t>名词解释</w:t>
      </w:r>
      <w:bookmarkEnd w:id="32"/>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6"/>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22</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hMTYzMTNiNjE2Y2ZhZDQ2NmZiNWFiZDkzOGJjOTQ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36013"/>
    <w:rsid w:val="0014464B"/>
    <w:rsid w:val="00145976"/>
    <w:rsid w:val="001569B3"/>
    <w:rsid w:val="00162161"/>
    <w:rsid w:val="00167378"/>
    <w:rsid w:val="00172CC0"/>
    <w:rsid w:val="001767B3"/>
    <w:rsid w:val="001A47A7"/>
    <w:rsid w:val="001A5903"/>
    <w:rsid w:val="001B45ED"/>
    <w:rsid w:val="001C3C12"/>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35F77"/>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C17C0"/>
    <w:rsid w:val="004D696A"/>
    <w:rsid w:val="004F0B75"/>
    <w:rsid w:val="00504A24"/>
    <w:rsid w:val="005354CD"/>
    <w:rsid w:val="00535E87"/>
    <w:rsid w:val="00557EC6"/>
    <w:rsid w:val="00577AEF"/>
    <w:rsid w:val="00584849"/>
    <w:rsid w:val="005A69E4"/>
    <w:rsid w:val="005B00AC"/>
    <w:rsid w:val="005B1EBF"/>
    <w:rsid w:val="005D3ACA"/>
    <w:rsid w:val="005D7140"/>
    <w:rsid w:val="00606548"/>
    <w:rsid w:val="00606A72"/>
    <w:rsid w:val="006354A5"/>
    <w:rsid w:val="00645111"/>
    <w:rsid w:val="006A5A31"/>
    <w:rsid w:val="006B70C6"/>
    <w:rsid w:val="006C4713"/>
    <w:rsid w:val="006E571B"/>
    <w:rsid w:val="006F1EE5"/>
    <w:rsid w:val="007015F0"/>
    <w:rsid w:val="007030FB"/>
    <w:rsid w:val="00714AE3"/>
    <w:rsid w:val="00723EF2"/>
    <w:rsid w:val="00743C81"/>
    <w:rsid w:val="00753E47"/>
    <w:rsid w:val="00760DCF"/>
    <w:rsid w:val="00763A54"/>
    <w:rsid w:val="00773637"/>
    <w:rsid w:val="00775567"/>
    <w:rsid w:val="007A30B9"/>
    <w:rsid w:val="007B32F9"/>
    <w:rsid w:val="007B464A"/>
    <w:rsid w:val="007C60CF"/>
    <w:rsid w:val="00800C7B"/>
    <w:rsid w:val="00804D1C"/>
    <w:rsid w:val="008071E4"/>
    <w:rsid w:val="008519DD"/>
    <w:rsid w:val="00855527"/>
    <w:rsid w:val="0086239A"/>
    <w:rsid w:val="008763D2"/>
    <w:rsid w:val="00880C2D"/>
    <w:rsid w:val="00886003"/>
    <w:rsid w:val="008906D2"/>
    <w:rsid w:val="008A73C5"/>
    <w:rsid w:val="008A7421"/>
    <w:rsid w:val="008D1D25"/>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947F0"/>
    <w:rsid w:val="00AA455B"/>
    <w:rsid w:val="00AB1283"/>
    <w:rsid w:val="00AB1C5D"/>
    <w:rsid w:val="00AB691F"/>
    <w:rsid w:val="00AD7433"/>
    <w:rsid w:val="00B07727"/>
    <w:rsid w:val="00B43BCC"/>
    <w:rsid w:val="00B67551"/>
    <w:rsid w:val="00B80A6F"/>
    <w:rsid w:val="00B83C27"/>
    <w:rsid w:val="00B9037D"/>
    <w:rsid w:val="00BF7317"/>
    <w:rsid w:val="00C02DE3"/>
    <w:rsid w:val="00C16FD3"/>
    <w:rsid w:val="00C33A0A"/>
    <w:rsid w:val="00C43C36"/>
    <w:rsid w:val="00C7095D"/>
    <w:rsid w:val="00C82173"/>
    <w:rsid w:val="00C9493F"/>
    <w:rsid w:val="00CA39A1"/>
    <w:rsid w:val="00CC6B40"/>
    <w:rsid w:val="00D06C50"/>
    <w:rsid w:val="00D15C3B"/>
    <w:rsid w:val="00D208E9"/>
    <w:rsid w:val="00D4799A"/>
    <w:rsid w:val="00D95257"/>
    <w:rsid w:val="00D96B74"/>
    <w:rsid w:val="00DD0E76"/>
    <w:rsid w:val="00DD596A"/>
    <w:rsid w:val="00DF317E"/>
    <w:rsid w:val="00E005FB"/>
    <w:rsid w:val="00E05319"/>
    <w:rsid w:val="00E236B8"/>
    <w:rsid w:val="00E332A8"/>
    <w:rsid w:val="00E67E4C"/>
    <w:rsid w:val="00E71AA9"/>
    <w:rsid w:val="00E90672"/>
    <w:rsid w:val="00E93BA5"/>
    <w:rsid w:val="00E9659E"/>
    <w:rsid w:val="00EA00D0"/>
    <w:rsid w:val="00EA0606"/>
    <w:rsid w:val="00EA2CC5"/>
    <w:rsid w:val="00ED1D1C"/>
    <w:rsid w:val="00EF3EDC"/>
    <w:rsid w:val="00F233C0"/>
    <w:rsid w:val="00F32365"/>
    <w:rsid w:val="00F3255D"/>
    <w:rsid w:val="00F32D3C"/>
    <w:rsid w:val="00F3795F"/>
    <w:rsid w:val="00F62AD2"/>
    <w:rsid w:val="00F71540"/>
    <w:rsid w:val="00F937DA"/>
    <w:rsid w:val="00F944BE"/>
    <w:rsid w:val="00FB3D59"/>
    <w:rsid w:val="00FC4095"/>
    <w:rsid w:val="00FE616A"/>
    <w:rsid w:val="00FE6949"/>
    <w:rsid w:val="00FE7B7F"/>
    <w:rsid w:val="00FF7B38"/>
    <w:rsid w:val="00FF7EA0"/>
    <w:rsid w:val="13E02238"/>
    <w:rsid w:val="21E07A6F"/>
    <w:rsid w:val="22A41EA4"/>
    <w:rsid w:val="2B202245"/>
    <w:rsid w:val="32D229F7"/>
    <w:rsid w:val="3D404A0C"/>
    <w:rsid w:val="3E0A16B8"/>
    <w:rsid w:val="4D424BF3"/>
    <w:rsid w:val="5BCD1176"/>
    <w:rsid w:val="5C541A56"/>
    <w:rsid w:val="6A1862EE"/>
    <w:rsid w:val="6A717362"/>
    <w:rsid w:val="6D416DB7"/>
    <w:rsid w:val="6EE83639"/>
    <w:rsid w:val="70EC10BE"/>
    <w:rsid w:val="75AA2BF6"/>
    <w:rsid w:val="7F5153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15"/>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4">
    <w:name w:val="Body Text Indent 2"/>
    <w:basedOn w:val="1"/>
    <w:qFormat/>
    <w:uiPriority w:val="0"/>
    <w:pPr>
      <w:spacing w:line="480" w:lineRule="auto"/>
      <w:ind w:left="420" w:leftChars="200"/>
    </w:pPr>
    <w:rPr>
      <w:rFonts w:ascii="Times New Roman" w:hAnsi="Times New Roman" w:eastAsia="宋体" w:cs="Times New Roman"/>
    </w:rPr>
  </w:style>
  <w:style w:type="paragraph" w:styleId="5">
    <w:name w:val="Balloon Text"/>
    <w:basedOn w:val="1"/>
    <w:link w:val="16"/>
    <w:unhideWhenUsed/>
    <w:qFormat/>
    <w:uiPriority w:val="99"/>
    <w:pPr>
      <w:spacing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semiHidden/>
    <w:unhideWhenUsed/>
    <w:uiPriority w:val="39"/>
  </w:style>
  <w:style w:type="paragraph" w:styleId="9">
    <w:name w:val="toc 2"/>
    <w:basedOn w:val="1"/>
    <w:next w:val="1"/>
    <w:semiHidden/>
    <w:unhideWhenUsed/>
    <w:uiPriority w:val="39"/>
    <w:pPr>
      <w:ind w:left="420" w:leftChars="200"/>
    </w:p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正文文本 Char"/>
    <w:basedOn w:val="11"/>
    <w:link w:val="3"/>
    <w:qFormat/>
    <w:uiPriority w:val="1"/>
    <w:rPr>
      <w:rFonts w:ascii="Times New Roman" w:hAnsi="Times New Roman" w:eastAsia="Times New Roman" w:cs="Times New Roman"/>
      <w:kern w:val="0"/>
      <w:sz w:val="20"/>
      <w:szCs w:val="20"/>
      <w:lang w:eastAsia="en-US"/>
    </w:rPr>
  </w:style>
  <w:style w:type="character" w:customStyle="1" w:styleId="16">
    <w:name w:val="批注框文本 Char"/>
    <w:basedOn w:val="11"/>
    <w:link w:val="5"/>
    <w:semiHidden/>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ind w:firstLine="420" w:firstLineChars="200"/>
    </w:pPr>
  </w:style>
  <w:style w:type="paragraph" w:styleId="19">
    <w:name w:val="List Paragraph"/>
    <w:basedOn w:val="1"/>
    <w:unhideWhenUsed/>
    <w:qFormat/>
    <w:uiPriority w:val="99"/>
    <w:pPr>
      <w:ind w:firstLine="420" w:firstLineChars="200"/>
    </w:pPr>
  </w:style>
  <w:style w:type="paragraph" w:customStyle="1" w:styleId="20">
    <w:name w:val="WPSOffice手动目录 1"/>
    <w:uiPriority w:val="0"/>
    <w:pPr>
      <w:ind w:leftChars="0"/>
    </w:pPr>
    <w:rPr>
      <w:sz w:val="20"/>
      <w:szCs w:val="20"/>
    </w:rPr>
  </w:style>
  <w:style w:type="paragraph" w:customStyle="1" w:styleId="21">
    <w:name w:val="WPSOffice手动目录 2"/>
    <w:uiPriority w:val="0"/>
    <w:pPr>
      <w:ind w:leftChars="200"/>
    </w:pPr>
    <w:rPr>
      <w:sz w:val="20"/>
      <w:szCs w:val="20"/>
    </w:rPr>
  </w:style>
  <w:style w:type="paragraph" w:customStyle="1" w:styleId="22">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6140</Words>
  <Characters>7075</Characters>
  <Lines>69</Lines>
  <Paragraphs>19</Paragraphs>
  <TotalTime>4</TotalTime>
  <ScaleCrop>false</ScaleCrop>
  <LinksUpToDate>false</LinksUpToDate>
  <CharactersWithSpaces>8303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lenovo</cp:lastModifiedBy>
  <cp:lastPrinted>2023-01-03T09:16:00Z</cp:lastPrinted>
  <dcterms:modified xsi:type="dcterms:W3CDTF">2024-01-30T03:38:23Z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1B560C12F6AA44FE84C67381712DCB94</vt:lpwstr>
  </property>
</Properties>
</file>