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rPr>
          <w:rFonts w:ascii="黑体" w:hAnsi="黑体" w:eastAsia="黑体"/>
          <w:sz w:val="32"/>
          <w:szCs w:val="32"/>
        </w:rPr>
      </w:pPr>
      <w:r>
        <w:rPr>
          <w:rFonts w:hint="eastAsia" w:ascii="黑体" w:hAnsi="黑体" w:eastAsia="黑体"/>
          <w:sz w:val="32"/>
          <w:szCs w:val="32"/>
        </w:rPr>
        <w:t>附件1</w:t>
      </w:r>
    </w:p>
    <w:p>
      <w:pPr>
        <w:widowControl/>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2024年度</w:t>
      </w:r>
    </w:p>
    <w:p>
      <w:pPr>
        <w:widowControl/>
        <w:jc w:val="center"/>
        <w:rPr>
          <w:rFonts w:hint="eastAsia" w:asciiTheme="minorEastAsia" w:hAnsiTheme="minorEastAsia" w:eastAsiaTheme="minorEastAsia"/>
          <w:sz w:val="84"/>
          <w:szCs w:val="84"/>
          <w:lang w:eastAsia="zh-CN"/>
        </w:rPr>
      </w:pPr>
      <w:r>
        <w:rPr>
          <w:rFonts w:hint="eastAsia" w:ascii="方正小标宋简体" w:eastAsia="方正小标宋简体"/>
          <w:sz w:val="84"/>
          <w:szCs w:val="84"/>
          <w:lang w:eastAsia="zh-CN"/>
        </w:rPr>
        <w:t>鼓楼区招商服务中心</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p>
    <w:sdt>
      <w:sdtPr>
        <w:rPr>
          <w:rFonts w:ascii="宋体" w:hAnsi="宋体" w:eastAsia="宋体" w:cstheme="minorBidi"/>
          <w:kern w:val="2"/>
          <w:sz w:val="21"/>
          <w:szCs w:val="22"/>
          <w:lang w:val="en-US" w:eastAsia="zh-CN" w:bidi="ar-SA"/>
        </w:rPr>
        <w:id w:val="147483523"/>
        <w15:color w:val="DBDBDB"/>
        <w:docPartObj>
          <w:docPartGallery w:val="Table of Contents"/>
          <w:docPartUnique/>
        </w:docPartObj>
      </w:sdtPr>
      <w:sdtEndPr>
        <w:rPr>
          <w:rFonts w:ascii="宋体" w:hAnsi="宋体" w:eastAsia="宋体"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eastAsia="方正小标宋简体" w:cs="Times New Roman" w:hAnsiTheme="majorEastAsia"/>
              <w:b w:val="0"/>
              <w:kern w:val="0"/>
              <w:sz w:val="44"/>
              <w:szCs w:val="20"/>
              <w:lang w:val="en-US" w:eastAsia="zh-CN" w:bidi="ar-SA"/>
            </w:rPr>
          </w:pPr>
          <w:bookmarkStart w:id="0" w:name="_Toc6762"/>
          <w:r>
            <w:rPr>
              <w:rFonts w:hint="eastAsia" w:ascii="方正小标宋简体" w:eastAsia="方正小标宋简体" w:cs="Times New Roman" w:hAnsiTheme="majorEastAsia"/>
              <w:b w:val="0"/>
              <w:kern w:val="0"/>
              <w:sz w:val="44"/>
              <w:szCs w:val="20"/>
              <w:lang w:val="en-US" w:eastAsia="zh-CN" w:bidi="ar-SA"/>
            </w:rPr>
            <w:t>目 录</w:t>
          </w:r>
        </w:p>
        <w:p>
          <w:pPr>
            <w:pStyle w:val="18"/>
            <w:tabs>
              <w:tab w:val="right" w:leader="dot" w:pos="8306"/>
            </w:tabs>
            <w:rPr>
              <w:b/>
            </w:rPr>
          </w:pPr>
          <w:r>
            <w:fldChar w:fldCharType="begin"/>
          </w:r>
          <w:r>
            <w:instrText xml:space="preserve">TOC \o "1-2" \h \u </w:instrText>
          </w:r>
          <w:r>
            <w:fldChar w:fldCharType="separate"/>
          </w:r>
        </w:p>
        <w:p>
          <w:pPr>
            <w:pStyle w:val="18"/>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_Toc17126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第一部分 部门概况</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_Toc17126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4</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_Toc5015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一、部门主要职责</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_Toc5015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_Toc20435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二、部门预算单位构成</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_Toc20435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_Toc14498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三、部门主要工作任务</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_Toc14498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5</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8"/>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_Toc27744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第二部分 2024年度部门预算表</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_Toc27744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7</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_Toc29335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一、收支预算总表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_Toc29335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8</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_Toc30671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二、收入预算总表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_Toc30671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9</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_Toc27650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三、支出预算总表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_Toc27650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10</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_Toc24965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四、财政拨款收支预算总表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_Toc24965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_Toc12695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五、一般公共预算拨款支出预算表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_Toc12695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_Toc31430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六、政府性基金预算拨款支出预算</w:t>
          </w:r>
          <w:bookmarkStart w:id="27" w:name="_GoBack"/>
          <w:bookmarkEnd w:id="27"/>
          <w:r>
            <w:rPr>
              <w:rFonts w:hint="eastAsia" w:ascii="仿宋" w:hAnsi="仿宋" w:eastAsia="仿宋" w:cs="Times New Roman"/>
              <w:kern w:val="0"/>
              <w:sz w:val="36"/>
              <w:szCs w:val="20"/>
              <w:lang w:val="en-US" w:eastAsia="zh-CN" w:bidi="ar-SA"/>
            </w:rPr>
            <w:t>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_Toc31430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_Toc20858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七、国有资本经营预算拨款支出预算表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_Toc20858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_Toc23368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八、一般公共预算支出经济分类情况表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_Toc23368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13</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_Toc26124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九、一般公共预算基本支出经济分类情况表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_Toc26124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14</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_Toc5994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十、一般公共预算“三公”经费支出预算表</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_Toc5994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17</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_Toc28610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十一、部门专项资金管理清单目录</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_Toc28610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18</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8"/>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_Toc15632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第三部分  2024年度部门预算情况说明</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_Toc15632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19</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_Toc16148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一、预算收支总体情况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_Toc16148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20</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_Toc29811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二、一般公共预算拨款支出情况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_Toc29811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20</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_Toc30342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三、政府性基金预算拨款支出情况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_Toc30342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_Toc19561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四、国有资本经营预算拨款支出情况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_Toc19561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_Toc11865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五、一般公共预算拨款基本支出情况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_Toc11865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21</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_Toc13807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六、一般公共预算“三公”经费支出情况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_Toc13807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rPr>
              <w:rFonts w:hint="eastAsia" w:ascii="仿宋" w:hAnsi="仿宋" w:eastAsia="仿宋" w:cs="Times New Roman"/>
              <w:kern w:val="0"/>
              <w:sz w:val="36"/>
              <w:szCs w:val="20"/>
              <w:lang w:val="en-US" w:eastAsia="zh-CN" w:bidi="ar-SA"/>
            </w:rPr>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_Toc20073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七、预算绩效目标情况</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_Toc20073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22</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9"/>
            <w:tabs>
              <w:tab w:val="right" w:leader="dot" w:pos="8306"/>
            </w:tabs>
          </w:pP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HYPERLINK \l _Toc4345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八、其他重要事项说明</w:t>
          </w:r>
          <w:r>
            <w:rPr>
              <w:rFonts w:hint="eastAsia" w:ascii="仿宋" w:hAnsi="仿宋" w:eastAsia="仿宋" w:cs="Times New Roman"/>
              <w:kern w:val="0"/>
              <w:sz w:val="36"/>
              <w:szCs w:val="20"/>
              <w:lang w:val="en-US" w:eastAsia="zh-CN" w:bidi="ar-SA"/>
            </w:rPr>
            <w:tab/>
          </w:r>
          <w:r>
            <w:rPr>
              <w:rFonts w:hint="eastAsia" w:ascii="仿宋" w:hAnsi="仿宋" w:eastAsia="仿宋" w:cs="Times New Roman"/>
              <w:kern w:val="0"/>
              <w:sz w:val="36"/>
              <w:szCs w:val="20"/>
              <w:lang w:val="en-US" w:eastAsia="zh-CN" w:bidi="ar-SA"/>
            </w:rPr>
            <w:fldChar w:fldCharType="begin"/>
          </w:r>
          <w:r>
            <w:rPr>
              <w:rFonts w:hint="eastAsia" w:ascii="仿宋" w:hAnsi="仿宋" w:eastAsia="仿宋" w:cs="Times New Roman"/>
              <w:kern w:val="0"/>
              <w:sz w:val="36"/>
              <w:szCs w:val="20"/>
              <w:lang w:val="en-US" w:eastAsia="zh-CN" w:bidi="ar-SA"/>
            </w:rPr>
            <w:instrText xml:space="preserve"> PAGEREF _Toc4345 \h </w:instrText>
          </w:r>
          <w:r>
            <w:rPr>
              <w:rFonts w:hint="eastAsia" w:ascii="仿宋" w:hAnsi="仿宋" w:eastAsia="仿宋" w:cs="Times New Roman"/>
              <w:kern w:val="0"/>
              <w:sz w:val="36"/>
              <w:szCs w:val="20"/>
              <w:lang w:val="en-US" w:eastAsia="zh-CN" w:bidi="ar-SA"/>
            </w:rPr>
            <w:fldChar w:fldCharType="separate"/>
          </w:r>
          <w:r>
            <w:rPr>
              <w:rFonts w:hint="eastAsia" w:ascii="仿宋" w:hAnsi="仿宋" w:eastAsia="仿宋" w:cs="Times New Roman"/>
              <w:kern w:val="0"/>
              <w:sz w:val="36"/>
              <w:szCs w:val="20"/>
              <w:lang w:val="en-US" w:eastAsia="zh-CN" w:bidi="ar-SA"/>
            </w:rPr>
            <w:t>23</w:t>
          </w:r>
          <w:r>
            <w:rPr>
              <w:rFonts w:hint="eastAsia" w:ascii="仿宋" w:hAnsi="仿宋" w:eastAsia="仿宋" w:cs="Times New Roman"/>
              <w:kern w:val="0"/>
              <w:sz w:val="36"/>
              <w:szCs w:val="20"/>
              <w:lang w:val="en-US" w:eastAsia="zh-CN" w:bidi="ar-SA"/>
            </w:rPr>
            <w:fldChar w:fldCharType="end"/>
          </w:r>
          <w:r>
            <w:rPr>
              <w:rFonts w:hint="eastAsia" w:ascii="仿宋" w:hAnsi="仿宋" w:eastAsia="仿宋" w:cs="Times New Roman"/>
              <w:kern w:val="0"/>
              <w:sz w:val="36"/>
              <w:szCs w:val="20"/>
              <w:lang w:val="en-US" w:eastAsia="zh-CN" w:bidi="ar-SA"/>
            </w:rPr>
            <w:fldChar w:fldCharType="end"/>
          </w:r>
        </w:p>
        <w:p>
          <w:pPr>
            <w:pStyle w:val="18"/>
            <w:tabs>
              <w:tab w:val="right" w:leader="dot" w:pos="8306"/>
            </w:tabs>
            <w:rPr>
              <w:rFonts w:hint="eastAsia" w:ascii="仿宋" w:hAnsi="仿宋" w:eastAsia="仿宋" w:cs="Times New Roman"/>
              <w:b/>
              <w:kern w:val="0"/>
              <w:sz w:val="36"/>
              <w:szCs w:val="20"/>
              <w:lang w:val="en-US" w:eastAsia="zh-CN" w:bidi="ar-SA"/>
            </w:rPr>
          </w:pP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HYPERLINK \l _Toc6201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第四部分 名词解释</w:t>
          </w:r>
          <w:r>
            <w:rPr>
              <w:rFonts w:hint="eastAsia" w:ascii="仿宋" w:hAnsi="仿宋" w:eastAsia="仿宋" w:cs="Times New Roman"/>
              <w:b/>
              <w:kern w:val="0"/>
              <w:sz w:val="36"/>
              <w:szCs w:val="20"/>
              <w:lang w:val="en-US" w:eastAsia="zh-CN" w:bidi="ar-SA"/>
            </w:rPr>
            <w:tab/>
          </w:r>
          <w:r>
            <w:rPr>
              <w:rFonts w:hint="eastAsia" w:ascii="仿宋" w:hAnsi="仿宋" w:eastAsia="仿宋" w:cs="Times New Roman"/>
              <w:b/>
              <w:kern w:val="0"/>
              <w:sz w:val="36"/>
              <w:szCs w:val="20"/>
              <w:lang w:val="en-US" w:eastAsia="zh-CN" w:bidi="ar-SA"/>
            </w:rPr>
            <w:fldChar w:fldCharType="begin"/>
          </w:r>
          <w:r>
            <w:rPr>
              <w:rFonts w:hint="eastAsia" w:ascii="仿宋" w:hAnsi="仿宋" w:eastAsia="仿宋" w:cs="Times New Roman"/>
              <w:b/>
              <w:kern w:val="0"/>
              <w:sz w:val="36"/>
              <w:szCs w:val="20"/>
              <w:lang w:val="en-US" w:eastAsia="zh-CN" w:bidi="ar-SA"/>
            </w:rPr>
            <w:instrText xml:space="preserve"> PAGEREF _Toc6201 \h </w:instrText>
          </w:r>
          <w:r>
            <w:rPr>
              <w:rFonts w:hint="eastAsia" w:ascii="仿宋" w:hAnsi="仿宋" w:eastAsia="仿宋" w:cs="Times New Roman"/>
              <w:b/>
              <w:kern w:val="0"/>
              <w:sz w:val="36"/>
              <w:szCs w:val="20"/>
              <w:lang w:val="en-US" w:eastAsia="zh-CN" w:bidi="ar-SA"/>
            </w:rPr>
            <w:fldChar w:fldCharType="separate"/>
          </w:r>
          <w:r>
            <w:rPr>
              <w:rFonts w:hint="eastAsia" w:ascii="仿宋" w:hAnsi="仿宋" w:eastAsia="仿宋" w:cs="Times New Roman"/>
              <w:b/>
              <w:kern w:val="0"/>
              <w:sz w:val="36"/>
              <w:szCs w:val="20"/>
              <w:lang w:val="en-US" w:eastAsia="zh-CN" w:bidi="ar-SA"/>
            </w:rPr>
            <w:t>25</w:t>
          </w:r>
          <w:r>
            <w:rPr>
              <w:rFonts w:hint="eastAsia" w:ascii="仿宋" w:hAnsi="仿宋" w:eastAsia="仿宋" w:cs="Times New Roman"/>
              <w:b/>
              <w:kern w:val="0"/>
              <w:sz w:val="36"/>
              <w:szCs w:val="20"/>
              <w:lang w:val="en-US" w:eastAsia="zh-CN" w:bidi="ar-SA"/>
            </w:rPr>
            <w:fldChar w:fldCharType="end"/>
          </w:r>
          <w:r>
            <w:rPr>
              <w:rFonts w:hint="eastAsia" w:ascii="仿宋" w:hAnsi="仿宋" w:eastAsia="仿宋" w:cs="Times New Roman"/>
              <w:b/>
              <w:kern w:val="0"/>
              <w:sz w:val="36"/>
              <w:szCs w:val="20"/>
              <w:lang w:val="en-US" w:eastAsia="zh-CN" w:bidi="ar-SA"/>
            </w:rPr>
            <w:fldChar w:fldCharType="end"/>
          </w:r>
        </w:p>
        <w:p>
          <w:r>
            <w:rPr>
              <w:b/>
            </w:rPr>
            <w:fldChar w:fldCharType="end"/>
          </w:r>
        </w:p>
      </w:sdtContent>
    </w:sdt>
    <w:bookmarkEnd w:id="0"/>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left"/>
        <w:outlineLvl w:val="0"/>
        <w:rPr>
          <w:rFonts w:ascii="黑体" w:hAnsi="黑体" w:eastAsia="黑体"/>
          <w:sz w:val="56"/>
          <w:szCs w:val="36"/>
          <w:lang w:eastAsia="zh-CN"/>
        </w:rPr>
      </w:pPr>
      <w:bookmarkStart w:id="1" w:name="_Toc17126"/>
      <w:r>
        <w:rPr>
          <w:rFonts w:hint="eastAsia" w:ascii="黑体" w:hAnsi="黑体" w:eastAsia="黑体"/>
          <w:sz w:val="56"/>
          <w:szCs w:val="36"/>
          <w:lang w:eastAsia="zh-CN"/>
        </w:rPr>
        <w:t>第一部分</w:t>
      </w:r>
      <w:r>
        <w:rPr>
          <w:rFonts w:ascii="黑体" w:hAnsi="黑体" w:eastAsia="黑体"/>
          <w:sz w:val="56"/>
          <w:szCs w:val="36"/>
          <w:lang w:eastAsia="zh-CN"/>
        </w:rPr>
        <w:t xml:space="preserve"> </w:t>
      </w:r>
      <w:r>
        <w:rPr>
          <w:rFonts w:hint="eastAsia" w:ascii="黑体" w:hAnsi="黑体" w:eastAsia="黑体"/>
          <w:sz w:val="56"/>
          <w:szCs w:val="36"/>
          <w:lang w:eastAsia="zh-CN"/>
        </w:rPr>
        <w:t>部门概况</w:t>
      </w:r>
      <w:bookmarkEnd w:id="1"/>
    </w:p>
    <w:p>
      <w:pPr>
        <w:pStyle w:val="4"/>
        <w:rPr>
          <w:rFonts w:ascii="黑体" w:hAnsi="黑体" w:eastAsia="黑体"/>
          <w:sz w:val="36"/>
          <w:szCs w:val="36"/>
          <w:lang w:eastAsia="zh-CN"/>
        </w:rPr>
      </w:pPr>
    </w:p>
    <w:p>
      <w:pPr>
        <w:pStyle w:val="4"/>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4"/>
        <w:outlineLvl w:val="1"/>
        <w:rPr>
          <w:rFonts w:ascii="黑体" w:hAnsi="黑体" w:eastAsia="黑体" w:cstheme="minorBidi"/>
          <w:b w:val="0"/>
          <w:kern w:val="2"/>
          <w:sz w:val="32"/>
          <w:szCs w:val="32"/>
          <w:lang w:eastAsia="zh-CN"/>
        </w:rPr>
      </w:pPr>
      <w:bookmarkStart w:id="2" w:name="_Toc5015"/>
      <w:r>
        <w:rPr>
          <w:rFonts w:hint="eastAsia" w:ascii="黑体" w:hAnsi="黑体" w:eastAsia="黑体" w:cstheme="minorBidi"/>
          <w:b w:val="0"/>
          <w:kern w:val="2"/>
          <w:sz w:val="32"/>
          <w:szCs w:val="32"/>
          <w:lang w:eastAsia="zh-CN"/>
        </w:rPr>
        <w:t>一、部门主要职责</w:t>
      </w:r>
      <w:bookmarkEnd w:id="2"/>
    </w:p>
    <w:p>
      <w:pPr>
        <w:pStyle w:val="4"/>
        <w:rPr>
          <w:rFonts w:hint="eastAsia" w:ascii="仿宋" w:hAnsi="仿宋" w:eastAsia="仿宋" w:cs="仿宋"/>
          <w:sz w:val="32"/>
          <w:szCs w:val="32"/>
        </w:rPr>
      </w:pPr>
      <w:r>
        <w:rPr>
          <w:rFonts w:hint="eastAsia" w:ascii="仿宋" w:hAnsi="仿宋" w:eastAsia="仿宋"/>
          <w:sz w:val="32"/>
        </w:rPr>
        <w:t>鼓楼区招商服务中心的主要职责是：</w:t>
      </w:r>
      <w:r>
        <w:rPr>
          <w:rFonts w:hint="eastAsia" w:ascii="仿宋" w:hAnsi="仿宋" w:eastAsia="仿宋" w:cs="仿宋"/>
          <w:sz w:val="32"/>
          <w:szCs w:val="32"/>
        </w:rPr>
        <w:t>综合协调全区招商引资工作，拟定招商引资年度计划和工作方案，组织协调大型招商活动，建立健全招商项目资料库和重点客商名录，负责招商项目的综合协调、跟踪推进和督促指导，负责全区招商引资成果的统计和考核。</w:t>
      </w:r>
    </w:p>
    <w:p>
      <w:pPr>
        <w:pStyle w:val="4"/>
        <w:outlineLvl w:val="1"/>
        <w:rPr>
          <w:rFonts w:ascii="黑体" w:hAnsi="黑体" w:eastAsia="黑体" w:cstheme="minorBidi"/>
          <w:b w:val="0"/>
          <w:kern w:val="2"/>
          <w:sz w:val="32"/>
          <w:szCs w:val="32"/>
          <w:lang w:eastAsia="zh-CN"/>
        </w:rPr>
      </w:pPr>
      <w:bookmarkStart w:id="3" w:name="_Toc20435"/>
      <w:r>
        <w:rPr>
          <w:rFonts w:hint="eastAsia" w:ascii="黑体" w:hAnsi="黑体" w:eastAsia="黑体" w:cstheme="minorBidi"/>
          <w:b w:val="0"/>
          <w:kern w:val="2"/>
          <w:sz w:val="32"/>
          <w:szCs w:val="32"/>
          <w:lang w:eastAsia="zh-CN"/>
        </w:rPr>
        <w:t>二、部门预算单位构成</w:t>
      </w:r>
      <w:bookmarkEnd w:id="3"/>
    </w:p>
    <w:p>
      <w:pPr>
        <w:tabs>
          <w:tab w:val="left" w:pos="7513"/>
        </w:tabs>
        <w:adjustRightInd w:val="0"/>
        <w:snapToGrid w:val="0"/>
        <w:spacing w:line="600" w:lineRule="exact"/>
        <w:ind w:firstLine="640" w:firstLineChars="200"/>
        <w:rPr>
          <w:rFonts w:ascii="仿宋" w:hAnsi="仿宋" w:eastAsia="仿宋"/>
          <w:sz w:val="32"/>
        </w:rPr>
      </w:pPr>
      <w:r>
        <w:rPr>
          <w:rFonts w:hint="eastAsia" w:ascii="仿宋" w:hAnsi="仿宋" w:eastAsia="仿宋"/>
          <w:sz w:val="32"/>
        </w:rPr>
        <w:t>从预算单位构成看，鼓楼区招商服务中心包括1个处（科）室及0个下属单位，其中：列入202</w:t>
      </w:r>
      <w:r>
        <w:rPr>
          <w:rFonts w:hint="eastAsia" w:ascii="仿宋" w:hAnsi="仿宋" w:eastAsia="仿宋"/>
          <w:sz w:val="32"/>
          <w:lang w:val="en-US" w:eastAsia="zh-CN"/>
        </w:rPr>
        <w:t>4</w:t>
      </w:r>
      <w:r>
        <w:rPr>
          <w:rFonts w:hint="eastAsia" w:ascii="仿宋" w:hAnsi="仿宋" w:eastAsia="仿宋"/>
          <w:sz w:val="32"/>
        </w:rPr>
        <w:t>年部门预算编制范围的单位详细情况见下表</w:t>
      </w:r>
      <w:r>
        <w:rPr>
          <w:rFonts w:ascii="仿宋" w:hAnsi="仿宋" w:eastAsia="仿宋"/>
          <w:sz w:val="32"/>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1627"/>
        <w:gridCol w:w="185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top"/>
          </w:tcPr>
          <w:p>
            <w:pPr>
              <w:tabs>
                <w:tab w:val="left" w:pos="7513"/>
              </w:tabs>
              <w:adjustRightInd w:val="0"/>
              <w:snapToGrid w:val="0"/>
              <w:spacing w:line="600" w:lineRule="exact"/>
              <w:jc w:val="center"/>
              <w:rPr>
                <w:rFonts w:ascii="仿宋" w:hAnsi="仿宋" w:eastAsia="仿宋"/>
                <w:sz w:val="32"/>
              </w:rPr>
            </w:pPr>
            <w:r>
              <w:rPr>
                <w:rFonts w:hint="eastAsia" w:ascii="仿宋" w:hAnsi="仿宋" w:eastAsia="仿宋"/>
                <w:sz w:val="32"/>
              </w:rPr>
              <w:t>单位名称</w:t>
            </w:r>
          </w:p>
        </w:tc>
        <w:tc>
          <w:tcPr>
            <w:tcW w:w="1627" w:type="dxa"/>
            <w:noWrap w:val="0"/>
            <w:vAlign w:val="top"/>
          </w:tcPr>
          <w:p>
            <w:pPr>
              <w:tabs>
                <w:tab w:val="left" w:pos="7513"/>
              </w:tabs>
              <w:adjustRightInd w:val="0"/>
              <w:snapToGrid w:val="0"/>
              <w:spacing w:line="600" w:lineRule="exact"/>
              <w:jc w:val="center"/>
              <w:rPr>
                <w:rFonts w:ascii="仿宋" w:hAnsi="仿宋" w:eastAsia="仿宋"/>
                <w:sz w:val="32"/>
              </w:rPr>
            </w:pPr>
            <w:r>
              <w:rPr>
                <w:rFonts w:hint="eastAsia" w:ascii="仿宋" w:hAnsi="仿宋" w:eastAsia="仿宋"/>
                <w:sz w:val="32"/>
              </w:rPr>
              <w:t>经费性质</w:t>
            </w:r>
          </w:p>
        </w:tc>
        <w:tc>
          <w:tcPr>
            <w:tcW w:w="1859" w:type="dxa"/>
            <w:noWrap w:val="0"/>
            <w:vAlign w:val="top"/>
          </w:tcPr>
          <w:p>
            <w:pPr>
              <w:tabs>
                <w:tab w:val="left" w:pos="7513"/>
              </w:tabs>
              <w:adjustRightInd w:val="0"/>
              <w:snapToGrid w:val="0"/>
              <w:spacing w:line="600" w:lineRule="exact"/>
              <w:jc w:val="center"/>
              <w:rPr>
                <w:rFonts w:ascii="仿宋" w:hAnsi="仿宋" w:eastAsia="仿宋"/>
                <w:sz w:val="32"/>
              </w:rPr>
            </w:pPr>
            <w:r>
              <w:rPr>
                <w:rFonts w:hint="eastAsia" w:ascii="仿宋" w:hAnsi="仿宋" w:eastAsia="仿宋"/>
                <w:sz w:val="32"/>
              </w:rPr>
              <w:t>人员编制数</w:t>
            </w:r>
          </w:p>
        </w:tc>
        <w:tc>
          <w:tcPr>
            <w:tcW w:w="2131" w:type="dxa"/>
            <w:noWrap w:val="0"/>
            <w:vAlign w:val="top"/>
          </w:tcPr>
          <w:p>
            <w:pPr>
              <w:tabs>
                <w:tab w:val="left" w:pos="7513"/>
              </w:tabs>
              <w:adjustRightInd w:val="0"/>
              <w:snapToGrid w:val="0"/>
              <w:spacing w:line="600" w:lineRule="exact"/>
              <w:jc w:val="center"/>
              <w:rPr>
                <w:rFonts w:ascii="仿宋" w:hAnsi="仿宋" w:eastAsia="仿宋"/>
                <w:sz w:val="32"/>
              </w:rPr>
            </w:pPr>
            <w:r>
              <w:rPr>
                <w:rFonts w:hint="eastAsia" w:ascii="仿宋" w:hAnsi="仿宋" w:eastAsia="仿宋"/>
                <w:sz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5" w:type="dxa"/>
            <w:noWrap w:val="0"/>
            <w:vAlign w:val="top"/>
          </w:tcPr>
          <w:p>
            <w:pPr>
              <w:tabs>
                <w:tab w:val="left" w:pos="7513"/>
              </w:tabs>
              <w:adjustRightInd w:val="0"/>
              <w:snapToGrid w:val="0"/>
              <w:spacing w:line="600" w:lineRule="exact"/>
              <w:jc w:val="center"/>
              <w:rPr>
                <w:rFonts w:ascii="仿宋" w:hAnsi="仿宋" w:eastAsia="仿宋"/>
                <w:sz w:val="28"/>
              </w:rPr>
            </w:pPr>
            <w:r>
              <w:rPr>
                <w:rFonts w:hint="eastAsia" w:ascii="仿宋" w:hAnsi="仿宋" w:eastAsia="仿宋"/>
                <w:sz w:val="28"/>
              </w:rPr>
              <w:t>鼓楼区招商服务中心</w:t>
            </w:r>
          </w:p>
        </w:tc>
        <w:tc>
          <w:tcPr>
            <w:tcW w:w="1627" w:type="dxa"/>
            <w:noWrap w:val="0"/>
            <w:vAlign w:val="top"/>
          </w:tcPr>
          <w:p>
            <w:pPr>
              <w:tabs>
                <w:tab w:val="left" w:pos="7513"/>
              </w:tabs>
              <w:adjustRightInd w:val="0"/>
              <w:snapToGrid w:val="0"/>
              <w:spacing w:line="600" w:lineRule="exact"/>
              <w:jc w:val="center"/>
              <w:rPr>
                <w:rFonts w:ascii="仿宋" w:hAnsi="仿宋" w:eastAsia="仿宋"/>
                <w:sz w:val="28"/>
              </w:rPr>
            </w:pPr>
            <w:r>
              <w:rPr>
                <w:rFonts w:hint="eastAsia" w:ascii="仿宋" w:hAnsi="仿宋" w:eastAsia="仿宋"/>
                <w:sz w:val="28"/>
              </w:rPr>
              <w:t>财政拨款</w:t>
            </w:r>
          </w:p>
        </w:tc>
        <w:tc>
          <w:tcPr>
            <w:tcW w:w="1859" w:type="dxa"/>
            <w:noWrap w:val="0"/>
            <w:vAlign w:val="top"/>
          </w:tcPr>
          <w:p>
            <w:pPr>
              <w:tabs>
                <w:tab w:val="left" w:pos="7513"/>
              </w:tabs>
              <w:adjustRightInd w:val="0"/>
              <w:snapToGrid w:val="0"/>
              <w:spacing w:line="600" w:lineRule="exact"/>
              <w:jc w:val="center"/>
              <w:rPr>
                <w:rFonts w:hint="eastAsia" w:ascii="仿宋" w:hAnsi="仿宋" w:eastAsia="仿宋"/>
                <w:sz w:val="28"/>
                <w:lang w:eastAsia="zh-CN"/>
              </w:rPr>
            </w:pPr>
            <w:r>
              <w:rPr>
                <w:rFonts w:hint="eastAsia" w:ascii="仿宋" w:hAnsi="仿宋" w:eastAsia="仿宋"/>
                <w:sz w:val="28"/>
                <w:lang w:val="en-US" w:eastAsia="zh-CN"/>
              </w:rPr>
              <w:t>8</w:t>
            </w:r>
          </w:p>
        </w:tc>
        <w:tc>
          <w:tcPr>
            <w:tcW w:w="2131" w:type="dxa"/>
            <w:noWrap w:val="0"/>
            <w:vAlign w:val="top"/>
          </w:tcPr>
          <w:p>
            <w:pPr>
              <w:tabs>
                <w:tab w:val="left" w:pos="7513"/>
              </w:tabs>
              <w:adjustRightInd w:val="0"/>
              <w:snapToGrid w:val="0"/>
              <w:spacing w:line="600" w:lineRule="exact"/>
              <w:jc w:val="center"/>
              <w:rPr>
                <w:rFonts w:hint="eastAsia" w:ascii="仿宋" w:hAnsi="仿宋" w:eastAsia="仿宋"/>
                <w:sz w:val="28"/>
                <w:lang w:val="en-US" w:eastAsia="zh-CN"/>
              </w:rPr>
            </w:pPr>
            <w:r>
              <w:rPr>
                <w:rFonts w:hint="eastAsia" w:ascii="仿宋" w:hAnsi="仿宋" w:eastAsia="仿宋"/>
                <w:sz w:val="28"/>
                <w:lang w:val="en-US" w:eastAsia="zh-CN"/>
              </w:rPr>
              <w:t>8</w:t>
            </w:r>
          </w:p>
        </w:tc>
      </w:tr>
    </w:tbl>
    <w:p>
      <w:pPr>
        <w:tabs>
          <w:tab w:val="left" w:pos="7513"/>
        </w:tabs>
        <w:adjustRightInd w:val="0"/>
        <w:snapToGrid w:val="0"/>
        <w:spacing w:line="600" w:lineRule="exact"/>
        <w:outlineLvl w:val="1"/>
        <w:rPr>
          <w:rFonts w:ascii="黑体" w:hAnsi="黑体" w:eastAsia="黑体"/>
          <w:b w:val="0"/>
          <w:sz w:val="32"/>
          <w:szCs w:val="32"/>
        </w:rPr>
      </w:pPr>
      <w:bookmarkStart w:id="4" w:name="_Toc14498"/>
      <w:r>
        <w:rPr>
          <w:rFonts w:hint="eastAsia" w:ascii="黑体" w:hAnsi="黑体" w:eastAsia="黑体" w:cstheme="minorBidi"/>
          <w:b w:val="0"/>
          <w:kern w:val="2"/>
          <w:sz w:val="32"/>
          <w:szCs w:val="32"/>
          <w:lang w:eastAsia="zh-CN"/>
        </w:rPr>
        <w:t>三、部门主要工作任务</w:t>
      </w:r>
      <w:bookmarkEnd w:id="4"/>
    </w:p>
    <w:p>
      <w:pPr>
        <w:pStyle w:val="2"/>
        <w:ind w:left="0" w:leftChars="0"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2024年，鼓楼区招商服务中心部门主要任务是：开展全区招商引资工作，以“重大项目招商攻坚突破行动”为抓手，立足“两中心、五平台”载体资源优势，主攻“5+2”重点产业链，通过外出招商、以商招商、展会招商、举办专场推介活动等形式，精准对接引进符合我区发展定位的行业龙头产业，完成市里下达的任务指标：2024年全区新落地重大招商项目52项，其中产业链项目21项、重点招商项目15项、台资项目10项、侨资项目6项。此外，做好省市签约活动及重点招商项目库入库项目谋划工作。</w:t>
      </w:r>
    </w:p>
    <w:p>
      <w:pPr>
        <w:spacing w:line="540" w:lineRule="exact"/>
        <w:ind w:firstLine="640" w:firstLineChars="200"/>
        <w:rPr>
          <w:rFonts w:hint="eastAsia" w:ascii="仿宋" w:hAnsi="仿宋" w:eastAsia="仿宋"/>
          <w:color w:val="000000"/>
          <w:sz w:val="32"/>
        </w:rPr>
      </w:pPr>
    </w:p>
    <w:p>
      <w:pPr>
        <w:ind w:firstLine="640" w:firstLineChars="200"/>
        <w:rPr>
          <w:rFonts w:ascii="仿宋" w:hAnsi="仿宋" w:eastAsia="仿宋" w:cs="仿宋_GB2312"/>
          <w:sz w:val="32"/>
          <w:szCs w:val="32"/>
        </w:rPr>
      </w:pPr>
    </w:p>
    <w:p>
      <w:pPr>
        <w:pStyle w:val="4"/>
        <w:jc w:val="center"/>
        <w:rPr>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left"/>
        <w:outlineLvl w:val="0"/>
        <w:rPr>
          <w:rFonts w:ascii="黑体" w:hAnsi="黑体" w:eastAsia="黑体"/>
          <w:sz w:val="56"/>
          <w:szCs w:val="36"/>
          <w:lang w:eastAsia="zh-CN"/>
        </w:rPr>
      </w:pPr>
      <w:bookmarkStart w:id="5" w:name="_Toc27744"/>
      <w:r>
        <w:rPr>
          <w:rFonts w:hint="eastAsia" w:ascii="黑体" w:hAnsi="黑体" w:eastAsia="黑体"/>
          <w:sz w:val="56"/>
          <w:szCs w:val="36"/>
          <w:lang w:eastAsia="zh-CN"/>
        </w:rPr>
        <w:t>第二部分</w:t>
      </w:r>
      <w:r>
        <w:rPr>
          <w:rFonts w:ascii="黑体" w:hAnsi="黑体" w:eastAsia="黑体"/>
          <w:sz w:val="56"/>
          <w:szCs w:val="36"/>
          <w:lang w:eastAsia="zh-CN"/>
        </w:rPr>
        <w:t xml:space="preserve"> </w:t>
      </w:r>
      <w:r>
        <w:rPr>
          <w:rFonts w:hint="eastAsia" w:ascii="黑体" w:hAnsi="黑体" w:eastAsia="黑体"/>
          <w:sz w:val="56"/>
          <w:szCs w:val="36"/>
          <w:lang w:val="en-US" w:eastAsia="zh-CN"/>
        </w:rPr>
        <w:t>2024年度</w:t>
      </w:r>
      <w:r>
        <w:rPr>
          <w:rFonts w:hint="eastAsia" w:ascii="黑体" w:hAnsi="黑体" w:eastAsia="黑体"/>
          <w:sz w:val="56"/>
          <w:szCs w:val="36"/>
          <w:lang w:eastAsia="zh-CN"/>
        </w:rPr>
        <w:t>部门预算表</w:t>
      </w:r>
      <w:bookmarkEnd w:id="5"/>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楷体" w:hAnsi="楷体" w:eastAsia="楷体"/>
          <w:sz w:val="28"/>
          <w:szCs w:val="28"/>
        </w:rPr>
      </w:pPr>
      <w:bookmarkStart w:id="6" w:name="_Toc29335"/>
      <w:r>
        <w:rPr>
          <w:rFonts w:hint="eastAsia" w:ascii="黑体" w:hAnsi="黑体" w:eastAsia="黑体" w:cstheme="minorBidi"/>
          <w:kern w:val="2"/>
          <w:sz w:val="32"/>
          <w:szCs w:val="32"/>
          <w:lang w:eastAsia="zh-CN"/>
        </w:rPr>
        <w:t>一、收支预算总表</w:t>
      </w:r>
      <w:bookmarkEnd w:id="6"/>
    </w:p>
    <w:tbl>
      <w:tblPr>
        <w:tblStyle w:val="8"/>
        <w:tblW w:w="5000" w:type="pct"/>
        <w:tblInd w:w="0" w:type="dxa"/>
        <w:tblLayout w:type="autofit"/>
        <w:tblCellMar>
          <w:top w:w="0" w:type="dxa"/>
          <w:left w:w="108" w:type="dxa"/>
          <w:bottom w:w="0" w:type="dxa"/>
          <w:right w:w="108" w:type="dxa"/>
        </w:tblCellMar>
      </w:tblPr>
      <w:tblGrid>
        <w:gridCol w:w="2736"/>
        <w:gridCol w:w="1433"/>
        <w:gridCol w:w="2916"/>
        <w:gridCol w:w="1437"/>
      </w:tblGrid>
      <w:tr>
        <w:tblPrEx>
          <w:tblCellMar>
            <w:top w:w="0" w:type="dxa"/>
            <w:left w:w="108" w:type="dxa"/>
            <w:bottom w:w="0" w:type="dxa"/>
            <w:right w:w="108" w:type="dxa"/>
          </w:tblCellMar>
        </w:tblPrEx>
        <w:trPr>
          <w:trHeight w:val="40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宋体" w:eastAsia="方正小标宋简体" w:cs="宋体"/>
                <w:kern w:val="0"/>
                <w:sz w:val="32"/>
                <w:szCs w:val="32"/>
              </w:rPr>
            </w:pPr>
            <w:r>
              <w:rPr>
                <w:rFonts w:ascii="宋体" w:hAnsi="宋体" w:eastAsia="宋体" w:cs="宋体"/>
                <w:i w:val="0"/>
                <w:iCs w:val="0"/>
                <w:color w:val="000000"/>
                <w:kern w:val="0"/>
                <w:sz w:val="28"/>
                <w:szCs w:val="28"/>
                <w:u w:val="none"/>
                <w:lang w:val="en-US" w:eastAsia="zh-CN" w:bidi="ar"/>
              </w:rPr>
              <w:t>2024年度收支预算总表</w:t>
            </w:r>
          </w:p>
        </w:tc>
      </w:tr>
      <w:tr>
        <w:tblPrEx>
          <w:tblCellMar>
            <w:top w:w="0" w:type="dxa"/>
            <w:left w:w="108" w:type="dxa"/>
            <w:bottom w:w="0" w:type="dxa"/>
            <w:right w:w="108" w:type="dxa"/>
          </w:tblCellMar>
        </w:tblPrEx>
        <w:trPr>
          <w:trHeight w:val="285" w:hRule="atLeast"/>
        </w:trPr>
        <w:tc>
          <w:tcPr>
            <w:tcW w:w="1252" w:type="pct"/>
            <w:tcBorders>
              <w:top w:val="nil"/>
              <w:left w:val="nil"/>
              <w:bottom w:val="nil"/>
              <w:right w:val="nil"/>
            </w:tcBorders>
            <w:shd w:val="clear" w:color="auto" w:fill="auto"/>
            <w:noWrap/>
            <w:vAlign w:val="center"/>
          </w:tcPr>
          <w:p>
            <w:pPr>
              <w:rPr>
                <w:rFonts w:ascii="宋体" w:hAnsi="宋体" w:eastAsia="宋体" w:cs="宋体"/>
                <w:kern w:val="0"/>
                <w:sz w:val="24"/>
                <w:szCs w:val="24"/>
              </w:rPr>
            </w:pPr>
          </w:p>
        </w:tc>
        <w:tc>
          <w:tcPr>
            <w:tcW w:w="1209" w:type="pct"/>
            <w:tcBorders>
              <w:top w:val="nil"/>
              <w:left w:val="nil"/>
              <w:bottom w:val="nil"/>
              <w:right w:val="nil"/>
            </w:tcBorders>
            <w:shd w:val="clear" w:color="auto" w:fill="auto"/>
            <w:noWrap/>
            <w:vAlign w:val="center"/>
          </w:tcPr>
          <w:p/>
        </w:tc>
        <w:tc>
          <w:tcPr>
            <w:tcW w:w="1326" w:type="pct"/>
            <w:tcBorders>
              <w:top w:val="nil"/>
              <w:left w:val="nil"/>
              <w:bottom w:val="nil"/>
              <w:right w:val="nil"/>
            </w:tcBorders>
            <w:shd w:val="clear" w:color="auto" w:fill="auto"/>
            <w:noWrap/>
            <w:vAlign w:val="center"/>
          </w:tcPr>
          <w:p/>
        </w:tc>
        <w:tc>
          <w:tcPr>
            <w:tcW w:w="121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ascii="宋体" w:hAnsi="宋体" w:eastAsia="宋体" w:cs="宋体"/>
                <w:i w:val="0"/>
                <w:iCs w:val="0"/>
                <w:color w:val="000000"/>
                <w:kern w:val="0"/>
                <w:sz w:val="18"/>
                <w:szCs w:val="18"/>
                <w:u w:val="none"/>
                <w:lang w:val="en-US" w:eastAsia="zh-CN" w:bidi="ar"/>
              </w:rPr>
              <w:t>单位：万元</w:t>
            </w:r>
          </w:p>
        </w:tc>
      </w:tr>
      <w:tr>
        <w:tblPrEx>
          <w:tblCellMar>
            <w:top w:w="0" w:type="dxa"/>
            <w:left w:w="108" w:type="dxa"/>
            <w:bottom w:w="0" w:type="dxa"/>
            <w:right w:w="108" w:type="dxa"/>
          </w:tblCellMar>
        </w:tblPrEx>
        <w:trPr>
          <w:trHeight w:val="402" w:hRule="atLeast"/>
        </w:trPr>
        <w:tc>
          <w:tcPr>
            <w:tcW w:w="246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ascii="宋体" w:hAnsi="宋体" w:eastAsia="宋体" w:cs="宋体"/>
                <w:i w:val="0"/>
                <w:iCs w:val="0"/>
                <w:color w:val="000000"/>
                <w:kern w:val="0"/>
                <w:sz w:val="18"/>
                <w:szCs w:val="18"/>
                <w:u w:val="none"/>
                <w:lang w:val="en-US" w:eastAsia="zh-CN" w:bidi="ar"/>
              </w:rPr>
              <w:t>收  入</w:t>
            </w:r>
          </w:p>
        </w:tc>
        <w:tc>
          <w:tcPr>
            <w:tcW w:w="2537"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ascii="宋体" w:hAnsi="宋体" w:eastAsia="宋体" w:cs="宋体"/>
                <w:i w:val="0"/>
                <w:iCs w:val="0"/>
                <w:color w:val="000000"/>
                <w:kern w:val="0"/>
                <w:sz w:val="18"/>
                <w:szCs w:val="18"/>
                <w:u w:val="none"/>
                <w:lang w:val="en-US" w:eastAsia="zh-CN" w:bidi="ar"/>
              </w:rPr>
              <w:t>支  出</w:t>
            </w: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ascii="宋体" w:hAnsi="宋体" w:eastAsia="宋体" w:cs="宋体"/>
                <w:i w:val="0"/>
                <w:iCs w:val="0"/>
                <w:color w:val="000000"/>
                <w:kern w:val="0"/>
                <w:sz w:val="18"/>
                <w:szCs w:val="18"/>
                <w:u w:val="none"/>
                <w:lang w:val="en-US" w:eastAsia="zh-CN" w:bidi="ar"/>
              </w:rPr>
              <w:t xml:space="preserve">         项目</w:t>
            </w:r>
          </w:p>
        </w:tc>
        <w:tc>
          <w:tcPr>
            <w:tcW w:w="120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ascii="宋体" w:hAnsi="宋体" w:eastAsia="宋体" w:cs="宋体"/>
                <w:i w:val="0"/>
                <w:iCs w:val="0"/>
                <w:color w:val="000000"/>
                <w:kern w:val="0"/>
                <w:sz w:val="18"/>
                <w:szCs w:val="18"/>
                <w:u w:val="none"/>
                <w:lang w:val="en-US" w:eastAsia="zh-CN" w:bidi="ar"/>
              </w:rPr>
              <w:t>预算数</w:t>
            </w: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ascii="宋体" w:hAnsi="宋体" w:eastAsia="宋体" w:cs="宋体"/>
                <w:i w:val="0"/>
                <w:iCs w:val="0"/>
                <w:color w:val="000000"/>
                <w:kern w:val="0"/>
                <w:sz w:val="18"/>
                <w:szCs w:val="18"/>
                <w:u w:val="none"/>
                <w:lang w:val="en-US" w:eastAsia="zh-CN" w:bidi="ar"/>
              </w:rPr>
              <w:t xml:space="preserve">        项目</w:t>
            </w:r>
          </w:p>
        </w:tc>
        <w:tc>
          <w:tcPr>
            <w:tcW w:w="121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ascii="宋体" w:hAnsi="宋体" w:eastAsia="宋体" w:cs="宋体"/>
                <w:i w:val="0"/>
                <w:iCs w:val="0"/>
                <w:color w:val="000000"/>
                <w:kern w:val="0"/>
                <w:sz w:val="18"/>
                <w:szCs w:val="18"/>
                <w:u w:val="none"/>
                <w:lang w:val="en-US" w:eastAsia="zh-CN" w:bidi="ar"/>
              </w:rPr>
              <w:t>预算数</w:t>
            </w: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一、一般公共预算拨款收入</w:t>
            </w:r>
          </w:p>
        </w:tc>
        <w:tc>
          <w:tcPr>
            <w:tcW w:w="120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197.83</w:t>
            </w: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一、一般公共服务支出</w:t>
            </w:r>
          </w:p>
        </w:tc>
        <w:tc>
          <w:tcPr>
            <w:tcW w:w="121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197.83</w:t>
            </w: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二、政府性基金预算拨款收入</w:t>
            </w:r>
          </w:p>
        </w:tc>
        <w:tc>
          <w:tcPr>
            <w:tcW w:w="1209"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二、外交支出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三、国有资本经营预算拨款收入</w:t>
            </w:r>
          </w:p>
        </w:tc>
        <w:tc>
          <w:tcPr>
            <w:tcW w:w="1209"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三、国防支出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四、财政专户管理资金收入</w:t>
            </w:r>
          </w:p>
        </w:tc>
        <w:tc>
          <w:tcPr>
            <w:tcW w:w="1209"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四、公共安全支出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五、事业收入</w:t>
            </w:r>
          </w:p>
        </w:tc>
        <w:tc>
          <w:tcPr>
            <w:tcW w:w="1209"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五、教育支出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六、事业单位经营收入</w:t>
            </w:r>
          </w:p>
        </w:tc>
        <w:tc>
          <w:tcPr>
            <w:tcW w:w="1209"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六、科学技术支出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七、上级补助收入</w:t>
            </w:r>
          </w:p>
        </w:tc>
        <w:tc>
          <w:tcPr>
            <w:tcW w:w="1209"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七、文化旅游体育与传媒支出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八、附属单位上缴收入</w:t>
            </w:r>
          </w:p>
        </w:tc>
        <w:tc>
          <w:tcPr>
            <w:tcW w:w="1209"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八、社会保障和就业支出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九、其他收入</w:t>
            </w:r>
          </w:p>
        </w:tc>
        <w:tc>
          <w:tcPr>
            <w:tcW w:w="1209"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九、卫生健康支出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十、上年结转结余</w:t>
            </w:r>
          </w:p>
        </w:tc>
        <w:tc>
          <w:tcPr>
            <w:tcW w:w="1209"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十、节能环保支出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十一、城乡社区支出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十二、农林水支出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十三、交通运输支出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十四、资源勘探工业信息等支出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十五、商业服务业等支出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十六、金融支出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十七、援助其他地区支出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十八、自然资源海洋气象等支出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十九、住房保障支出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二十、粮油物资储备支出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二十一、国有资本经营预算支出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val="0"/>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b w:val="0"/>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val="0"/>
                <w:kern w:val="0"/>
                <w:sz w:val="18"/>
                <w:szCs w:val="18"/>
              </w:rPr>
            </w:pPr>
            <w:r>
              <w:rPr>
                <w:rFonts w:ascii="宋体" w:hAnsi="宋体" w:eastAsia="宋体" w:cs="宋体"/>
                <w:i w:val="0"/>
                <w:iCs w:val="0"/>
                <w:color w:val="000000"/>
                <w:kern w:val="0"/>
                <w:sz w:val="18"/>
                <w:szCs w:val="18"/>
                <w:u w:val="none"/>
                <w:lang w:val="en-US" w:eastAsia="zh-CN" w:bidi="ar"/>
              </w:rPr>
              <w:t>二十二、灾害防治及应急管理支出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58"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二十三、其他支出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二十四、债务还本支出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二十五、债务付息支出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kern w:val="0"/>
                <w:sz w:val="18"/>
                <w:szCs w:val="18"/>
              </w:rPr>
            </w:pPr>
          </w:p>
        </w:tc>
        <w:tc>
          <w:tcPr>
            <w:tcW w:w="1209" w:type="pct"/>
            <w:tcBorders>
              <w:top w:val="nil"/>
              <w:left w:val="nil"/>
              <w:bottom w:val="single" w:color="auto" w:sz="4" w:space="0"/>
              <w:right w:val="single" w:color="auto" w:sz="4" w:space="0"/>
            </w:tcBorders>
            <w:shd w:val="clear" w:color="auto" w:fill="auto"/>
            <w:vAlign w:val="center"/>
          </w:tcPr>
          <w:p>
            <w:pPr>
              <w:rPr>
                <w:rFonts w:ascii="宋体" w:hAnsi="宋体" w:eastAsia="宋体" w:cs="宋体"/>
                <w:kern w:val="0"/>
                <w:sz w:val="18"/>
                <w:szCs w:val="18"/>
              </w:rPr>
            </w:pP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二十六、债务发行费用支出</w:t>
            </w:r>
          </w:p>
        </w:tc>
        <w:tc>
          <w:tcPr>
            <w:tcW w:w="1210"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252"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kern w:val="0"/>
                <w:sz w:val="22"/>
              </w:rPr>
            </w:pPr>
            <w:r>
              <w:rPr>
                <w:rFonts w:ascii="宋体" w:hAnsi="宋体" w:eastAsia="宋体" w:cs="宋体"/>
                <w:i w:val="0"/>
                <w:iCs w:val="0"/>
                <w:color w:val="000000"/>
                <w:kern w:val="0"/>
                <w:sz w:val="18"/>
                <w:szCs w:val="18"/>
                <w:u w:val="none"/>
                <w:lang w:val="en-US" w:eastAsia="zh-CN" w:bidi="ar"/>
              </w:rPr>
              <w:t>收入合计</w:t>
            </w:r>
          </w:p>
        </w:tc>
        <w:tc>
          <w:tcPr>
            <w:tcW w:w="1209"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kern w:val="0"/>
                <w:sz w:val="22"/>
              </w:rPr>
            </w:pPr>
            <w:r>
              <w:rPr>
                <w:rFonts w:ascii="宋体" w:hAnsi="宋体" w:eastAsia="宋体" w:cs="宋体"/>
                <w:i w:val="0"/>
                <w:iCs w:val="0"/>
                <w:color w:val="000000"/>
                <w:kern w:val="0"/>
                <w:sz w:val="18"/>
                <w:szCs w:val="18"/>
                <w:u w:val="none"/>
                <w:lang w:val="en-US" w:eastAsia="zh-CN" w:bidi="ar"/>
              </w:rPr>
              <w:t>197.83</w:t>
            </w:r>
          </w:p>
        </w:tc>
        <w:tc>
          <w:tcPr>
            <w:tcW w:w="132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kern w:val="0"/>
                <w:sz w:val="22"/>
              </w:rPr>
            </w:pPr>
            <w:r>
              <w:rPr>
                <w:rFonts w:ascii="宋体" w:hAnsi="宋体" w:eastAsia="宋体" w:cs="宋体"/>
                <w:i w:val="0"/>
                <w:iCs w:val="0"/>
                <w:color w:val="000000"/>
                <w:kern w:val="0"/>
                <w:sz w:val="18"/>
                <w:szCs w:val="18"/>
                <w:u w:val="none"/>
                <w:lang w:val="en-US" w:eastAsia="zh-CN" w:bidi="ar"/>
              </w:rPr>
              <w:t>支出合计</w:t>
            </w:r>
          </w:p>
        </w:tc>
        <w:tc>
          <w:tcPr>
            <w:tcW w:w="1210"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kern w:val="0"/>
                <w:sz w:val="22"/>
              </w:rPr>
            </w:pPr>
            <w:r>
              <w:rPr>
                <w:rFonts w:ascii="宋体" w:hAnsi="宋体" w:eastAsia="宋体" w:cs="宋体"/>
                <w:i w:val="0"/>
                <w:iCs w:val="0"/>
                <w:color w:val="000000"/>
                <w:kern w:val="0"/>
                <w:sz w:val="18"/>
                <w:szCs w:val="18"/>
                <w:u w:val="none"/>
                <w:lang w:val="en-US" w:eastAsia="zh-CN" w:bidi="ar"/>
              </w:rPr>
              <w:t>197.83</w:t>
            </w:r>
          </w:p>
        </w:tc>
      </w:tr>
    </w:tbl>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7" w:name="_Toc30671"/>
      <w:r>
        <w:rPr>
          <w:rFonts w:hint="eastAsia" w:ascii="黑体" w:hAnsi="黑体" w:eastAsia="黑体"/>
          <w:sz w:val="32"/>
          <w:szCs w:val="32"/>
        </w:rPr>
        <w:t>二、收入预算总表</w:t>
      </w:r>
      <w:bookmarkEnd w:id="7"/>
    </w:p>
    <w:tbl>
      <w:tblPr>
        <w:tblStyle w:val="8"/>
        <w:tblW w:w="5000" w:type="pct"/>
        <w:tblInd w:w="0" w:type="dxa"/>
        <w:tblLayout w:type="autofit"/>
        <w:tblCellMar>
          <w:top w:w="0" w:type="dxa"/>
          <w:left w:w="108" w:type="dxa"/>
          <w:bottom w:w="0" w:type="dxa"/>
          <w:right w:w="108" w:type="dxa"/>
        </w:tblCellMar>
      </w:tblPr>
      <w:tblGrid>
        <w:gridCol w:w="1746"/>
        <w:gridCol w:w="2381"/>
        <w:gridCol w:w="890"/>
        <w:gridCol w:w="890"/>
        <w:gridCol w:w="890"/>
        <w:gridCol w:w="890"/>
        <w:gridCol w:w="893"/>
        <w:gridCol w:w="893"/>
        <w:gridCol w:w="893"/>
        <w:gridCol w:w="893"/>
        <w:gridCol w:w="893"/>
        <w:gridCol w:w="893"/>
        <w:gridCol w:w="1129"/>
      </w:tblGrid>
      <w:tr>
        <w:tblPrEx>
          <w:tblCellMar>
            <w:top w:w="0" w:type="dxa"/>
            <w:left w:w="108" w:type="dxa"/>
            <w:bottom w:w="0" w:type="dxa"/>
            <w:right w:w="108" w:type="dxa"/>
          </w:tblCellMar>
        </w:tblPrEx>
        <w:trPr>
          <w:trHeight w:val="582" w:hRule="atLeast"/>
        </w:trPr>
        <w:tc>
          <w:tcPr>
            <w:tcW w:w="5000" w:type="pct"/>
            <w:gridSpan w:val="13"/>
            <w:tcBorders>
              <w:top w:val="nil"/>
              <w:left w:val="nil"/>
              <w:bottom w:val="nil"/>
              <w:right w:val="nil"/>
            </w:tcBorders>
            <w:vAlign w:val="center"/>
          </w:tcPr>
          <w:p>
            <w:pPr>
              <w:keepNext w:val="0"/>
              <w:keepLines w:val="0"/>
              <w:widowControl/>
              <w:suppressLineNumbers w:val="0"/>
              <w:jc w:val="center"/>
              <w:textAlignment w:val="center"/>
              <w:rPr>
                <w:rFonts w:ascii="方正小标宋简体" w:hAnsi="宋体" w:eastAsia="方正小标宋简体" w:cs="宋体"/>
                <w:kern w:val="0"/>
                <w:sz w:val="32"/>
                <w:szCs w:val="32"/>
              </w:rPr>
            </w:pPr>
            <w:r>
              <w:rPr>
                <w:rFonts w:ascii="宋体" w:hAnsi="宋体" w:eastAsia="宋体" w:cs="宋体"/>
                <w:i w:val="0"/>
                <w:iCs w:val="0"/>
                <w:color w:val="000000"/>
                <w:kern w:val="0"/>
                <w:sz w:val="30"/>
                <w:szCs w:val="30"/>
                <w:u w:val="none"/>
                <w:lang w:val="en-US" w:eastAsia="zh-CN" w:bidi="ar"/>
              </w:rPr>
              <w:t>2024年度收入预算总表</w:t>
            </w:r>
          </w:p>
        </w:tc>
      </w:tr>
      <w:tr>
        <w:tblPrEx>
          <w:tblCellMar>
            <w:top w:w="0" w:type="dxa"/>
            <w:left w:w="108" w:type="dxa"/>
            <w:bottom w:w="0" w:type="dxa"/>
            <w:right w:w="108" w:type="dxa"/>
          </w:tblCellMar>
        </w:tblPrEx>
        <w:trPr>
          <w:trHeight w:val="510" w:hRule="atLeast"/>
        </w:trPr>
        <w:tc>
          <w:tcPr>
            <w:tcW w:w="616" w:type="pct"/>
            <w:tcBorders>
              <w:top w:val="nil"/>
              <w:left w:val="nil"/>
              <w:bottom w:val="single" w:color="auto" w:sz="4" w:space="0"/>
              <w:right w:val="nil"/>
            </w:tcBorders>
            <w:shd w:val="clear" w:color="auto" w:fill="auto"/>
            <w:noWrap/>
            <w:vAlign w:val="center"/>
          </w:tcPr>
          <w:p>
            <w:pPr>
              <w:rPr>
                <w:rFonts w:ascii="宋体" w:hAnsi="宋体" w:eastAsia="宋体" w:cs="宋体"/>
                <w:kern w:val="0"/>
                <w:sz w:val="24"/>
                <w:szCs w:val="24"/>
              </w:rPr>
            </w:pPr>
          </w:p>
        </w:tc>
        <w:tc>
          <w:tcPr>
            <w:tcW w:w="840" w:type="pct"/>
            <w:tcBorders>
              <w:top w:val="nil"/>
              <w:left w:val="nil"/>
              <w:bottom w:val="single" w:color="auto" w:sz="4" w:space="0"/>
              <w:right w:val="nil"/>
            </w:tcBorders>
            <w:shd w:val="clear" w:color="auto" w:fill="auto"/>
            <w:noWrap/>
            <w:vAlign w:val="center"/>
          </w:tcPr>
          <w:p>
            <w:pPr>
              <w:rPr>
                <w:rFonts w:ascii="黑体" w:hAnsi="黑体" w:eastAsia="黑体" w:cs="宋体"/>
                <w:kern w:val="0"/>
                <w:sz w:val="40"/>
                <w:szCs w:val="40"/>
              </w:rPr>
            </w:pPr>
          </w:p>
        </w:tc>
        <w:tc>
          <w:tcPr>
            <w:tcW w:w="314" w:type="pct"/>
            <w:tcBorders>
              <w:top w:val="nil"/>
              <w:left w:val="nil"/>
              <w:bottom w:val="single" w:color="auto" w:sz="4" w:space="0"/>
              <w:right w:val="nil"/>
            </w:tcBorders>
            <w:shd w:val="clear" w:color="auto" w:fill="auto"/>
            <w:vAlign w:val="center"/>
          </w:tcPr>
          <w:p>
            <w:pPr>
              <w:rPr>
                <w:rFonts w:ascii="宋体" w:hAnsi="宋体" w:eastAsia="宋体" w:cs="宋体"/>
                <w:kern w:val="0"/>
                <w:sz w:val="24"/>
                <w:szCs w:val="24"/>
              </w:rPr>
            </w:pPr>
          </w:p>
        </w:tc>
        <w:tc>
          <w:tcPr>
            <w:tcW w:w="314" w:type="pct"/>
            <w:tcBorders>
              <w:top w:val="nil"/>
              <w:left w:val="nil"/>
              <w:bottom w:val="single" w:color="auto" w:sz="4" w:space="0"/>
              <w:right w:val="nil"/>
            </w:tcBorders>
            <w:shd w:val="clear" w:color="auto" w:fill="auto"/>
            <w:vAlign w:val="center"/>
          </w:tcPr>
          <w:p>
            <w:pPr>
              <w:rPr>
                <w:rFonts w:ascii="宋体" w:hAnsi="宋体" w:eastAsia="宋体" w:cs="宋体"/>
                <w:kern w:val="0"/>
                <w:sz w:val="24"/>
                <w:szCs w:val="24"/>
              </w:rPr>
            </w:pPr>
          </w:p>
        </w:tc>
        <w:tc>
          <w:tcPr>
            <w:tcW w:w="314" w:type="pct"/>
            <w:tcBorders>
              <w:top w:val="nil"/>
              <w:left w:val="nil"/>
              <w:bottom w:val="single" w:color="auto" w:sz="4" w:space="0"/>
              <w:right w:val="nil"/>
            </w:tcBorders>
            <w:vAlign w:val="center"/>
          </w:tcPr>
          <w:p>
            <w:pPr>
              <w:rPr>
                <w:rFonts w:ascii="宋体" w:hAnsi="宋体" w:eastAsia="宋体" w:cs="宋体"/>
                <w:kern w:val="0"/>
                <w:sz w:val="24"/>
                <w:szCs w:val="24"/>
              </w:rPr>
            </w:pPr>
          </w:p>
        </w:tc>
        <w:tc>
          <w:tcPr>
            <w:tcW w:w="314" w:type="pct"/>
            <w:tcBorders>
              <w:top w:val="nil"/>
              <w:left w:val="nil"/>
              <w:bottom w:val="single" w:color="auto" w:sz="4" w:space="0"/>
              <w:right w:val="nil"/>
            </w:tcBorders>
            <w:shd w:val="clear" w:color="auto" w:fill="auto"/>
            <w:noWrap/>
            <w:vAlign w:val="center"/>
          </w:tcPr>
          <w:p>
            <w:pPr>
              <w:rPr>
                <w:rFonts w:ascii="宋体" w:hAnsi="宋体" w:eastAsia="宋体" w:cs="宋体"/>
                <w:kern w:val="0"/>
                <w:sz w:val="24"/>
                <w:szCs w:val="24"/>
              </w:rPr>
            </w:pPr>
          </w:p>
        </w:tc>
        <w:tc>
          <w:tcPr>
            <w:tcW w:w="315" w:type="pct"/>
            <w:tcBorders>
              <w:top w:val="nil"/>
              <w:left w:val="nil"/>
              <w:bottom w:val="single" w:color="auto" w:sz="4" w:space="0"/>
              <w:right w:val="nil"/>
            </w:tcBorders>
            <w:vAlign w:val="center"/>
          </w:tcPr>
          <w:p>
            <w:pPr>
              <w:rPr>
                <w:rFonts w:ascii="宋体" w:hAnsi="宋体" w:eastAsia="宋体" w:cs="宋体"/>
                <w:kern w:val="0"/>
                <w:sz w:val="22"/>
              </w:rPr>
            </w:pPr>
          </w:p>
        </w:tc>
        <w:tc>
          <w:tcPr>
            <w:tcW w:w="315" w:type="pct"/>
            <w:tcBorders>
              <w:top w:val="nil"/>
              <w:left w:val="nil"/>
              <w:bottom w:val="single" w:color="auto" w:sz="4" w:space="0"/>
              <w:right w:val="nil"/>
            </w:tcBorders>
            <w:vAlign w:val="center"/>
          </w:tcPr>
          <w:p>
            <w:pPr>
              <w:rPr>
                <w:rFonts w:ascii="宋体" w:hAnsi="宋体" w:eastAsia="宋体" w:cs="宋体"/>
                <w:kern w:val="0"/>
                <w:sz w:val="22"/>
              </w:rPr>
            </w:pPr>
          </w:p>
        </w:tc>
        <w:tc>
          <w:tcPr>
            <w:tcW w:w="315" w:type="pct"/>
            <w:tcBorders>
              <w:top w:val="nil"/>
              <w:left w:val="nil"/>
              <w:bottom w:val="single" w:color="auto" w:sz="4" w:space="0"/>
              <w:right w:val="nil"/>
            </w:tcBorders>
            <w:vAlign w:val="center"/>
          </w:tcPr>
          <w:p>
            <w:pPr>
              <w:rPr>
                <w:rFonts w:ascii="宋体" w:hAnsi="宋体" w:eastAsia="宋体" w:cs="宋体"/>
                <w:kern w:val="0"/>
                <w:sz w:val="22"/>
              </w:rPr>
            </w:pPr>
          </w:p>
        </w:tc>
        <w:tc>
          <w:tcPr>
            <w:tcW w:w="315" w:type="pct"/>
            <w:tcBorders>
              <w:top w:val="nil"/>
              <w:left w:val="nil"/>
              <w:bottom w:val="single" w:color="auto" w:sz="4" w:space="0"/>
              <w:right w:val="nil"/>
            </w:tcBorders>
            <w:vAlign w:val="center"/>
          </w:tcPr>
          <w:p>
            <w:pPr>
              <w:rPr>
                <w:rFonts w:ascii="宋体" w:hAnsi="宋体" w:eastAsia="宋体" w:cs="宋体"/>
                <w:kern w:val="0"/>
                <w:sz w:val="22"/>
              </w:rPr>
            </w:pPr>
          </w:p>
        </w:tc>
        <w:tc>
          <w:tcPr>
            <w:tcW w:w="315" w:type="pct"/>
            <w:tcBorders>
              <w:top w:val="nil"/>
              <w:left w:val="nil"/>
              <w:bottom w:val="single" w:color="auto" w:sz="4" w:space="0"/>
              <w:right w:val="nil"/>
            </w:tcBorders>
            <w:shd w:val="clear" w:color="auto" w:fill="auto"/>
            <w:noWrap/>
            <w:vAlign w:val="center"/>
          </w:tcPr>
          <w:p>
            <w:pPr>
              <w:rPr>
                <w:rFonts w:ascii="宋体" w:hAnsi="宋体" w:eastAsia="宋体" w:cs="宋体"/>
                <w:kern w:val="0"/>
                <w:sz w:val="22"/>
              </w:rPr>
            </w:pPr>
          </w:p>
        </w:tc>
        <w:tc>
          <w:tcPr>
            <w:tcW w:w="315" w:type="pct"/>
            <w:tcBorders>
              <w:top w:val="nil"/>
              <w:left w:val="nil"/>
              <w:bottom w:val="single" w:color="auto" w:sz="4" w:space="0"/>
              <w:right w:val="nil"/>
            </w:tcBorders>
            <w:shd w:val="clear" w:color="auto" w:fill="auto"/>
            <w:noWrap/>
            <w:vAlign w:val="center"/>
          </w:tcPr>
          <w:p/>
        </w:tc>
        <w:tc>
          <w:tcPr>
            <w:tcW w:w="393" w:type="pct"/>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pPr>
            <w:r>
              <w:rPr>
                <w:rFonts w:ascii="宋体" w:hAnsi="宋体" w:eastAsia="宋体" w:cs="宋体"/>
                <w:i w:val="0"/>
                <w:iCs w:val="0"/>
                <w:color w:val="000000"/>
                <w:kern w:val="0"/>
                <w:sz w:val="18"/>
                <w:szCs w:val="18"/>
                <w:u w:val="none"/>
                <w:lang w:val="en-US" w:eastAsia="zh-CN" w:bidi="ar"/>
              </w:rPr>
              <w:t>单位：万元</w:t>
            </w:r>
          </w:p>
        </w:tc>
      </w:tr>
      <w:tr>
        <w:tblPrEx>
          <w:tblCellMar>
            <w:top w:w="0" w:type="dxa"/>
            <w:left w:w="108" w:type="dxa"/>
            <w:bottom w:w="0" w:type="dxa"/>
            <w:right w:w="108" w:type="dxa"/>
          </w:tblCellMar>
        </w:tblPrEx>
        <w:trPr>
          <w:trHeight w:val="1237" w:hRule="atLeast"/>
        </w:trPr>
        <w:tc>
          <w:tcPr>
            <w:tcW w:w="61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kern w:val="0"/>
                <w:sz w:val="22"/>
              </w:rPr>
            </w:pPr>
            <w:r>
              <w:rPr>
                <w:rFonts w:ascii="宋体" w:hAnsi="宋体" w:eastAsia="宋体" w:cs="宋体"/>
                <w:i w:val="0"/>
                <w:iCs w:val="0"/>
                <w:color w:val="000000"/>
                <w:kern w:val="0"/>
                <w:sz w:val="18"/>
                <w:szCs w:val="18"/>
                <w:u w:val="none"/>
                <w:lang w:val="en-US" w:eastAsia="zh-CN" w:bidi="ar"/>
              </w:rPr>
              <w:t>科目编码</w:t>
            </w:r>
          </w:p>
        </w:tc>
        <w:tc>
          <w:tcPr>
            <w:tcW w:w="84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科目名称</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总计</w:t>
            </w:r>
          </w:p>
        </w:tc>
        <w:tc>
          <w:tcPr>
            <w:tcW w:w="314"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一般公共预算拨款收入</w:t>
            </w:r>
          </w:p>
        </w:tc>
        <w:tc>
          <w:tcPr>
            <w:tcW w:w="31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政府性基金预算拨款收入</w:t>
            </w:r>
          </w:p>
        </w:tc>
        <w:tc>
          <w:tcPr>
            <w:tcW w:w="3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国有资本经营预算拨款收入</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财政专户管理资金收入</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事业收入</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事业单位经营收入</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上级补助收入</w:t>
            </w:r>
          </w:p>
        </w:tc>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附属单位上缴收入</w:t>
            </w:r>
          </w:p>
        </w:tc>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其他收入</w:t>
            </w:r>
          </w:p>
        </w:tc>
        <w:tc>
          <w:tcPr>
            <w:tcW w:w="393"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上年结转结余</w:t>
            </w:r>
          </w:p>
        </w:tc>
      </w:tr>
      <w:tr>
        <w:tblPrEx>
          <w:tblCellMar>
            <w:top w:w="0" w:type="dxa"/>
            <w:left w:w="108" w:type="dxa"/>
            <w:bottom w:w="0" w:type="dxa"/>
            <w:right w:w="108" w:type="dxa"/>
          </w:tblCellMar>
        </w:tblPrEx>
        <w:trPr>
          <w:trHeight w:val="402" w:hRule="atLeast"/>
        </w:trPr>
        <w:tc>
          <w:tcPr>
            <w:tcW w:w="61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kern w:val="0"/>
                <w:sz w:val="22"/>
              </w:rPr>
            </w:pPr>
            <w:r>
              <w:rPr>
                <w:rFonts w:ascii="宋体" w:hAnsi="宋体" w:eastAsia="宋体" w:cs="宋体"/>
                <w:i w:val="0"/>
                <w:iCs w:val="0"/>
                <w:color w:val="000000"/>
                <w:kern w:val="0"/>
                <w:sz w:val="18"/>
                <w:szCs w:val="18"/>
                <w:u w:val="none"/>
                <w:lang w:val="en-US" w:eastAsia="zh-CN" w:bidi="ar"/>
              </w:rPr>
              <w:t>1</w:t>
            </w:r>
          </w:p>
        </w:tc>
        <w:tc>
          <w:tcPr>
            <w:tcW w:w="840"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w:t>
            </w:r>
          </w:p>
        </w:tc>
        <w:tc>
          <w:tcPr>
            <w:tcW w:w="31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w:t>
            </w:r>
          </w:p>
        </w:tc>
        <w:tc>
          <w:tcPr>
            <w:tcW w:w="3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w:t>
            </w:r>
          </w:p>
        </w:tc>
        <w:tc>
          <w:tcPr>
            <w:tcW w:w="314" w:type="pct"/>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w:t>
            </w:r>
          </w:p>
        </w:tc>
        <w:tc>
          <w:tcPr>
            <w:tcW w:w="31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9</w:t>
            </w:r>
          </w:p>
        </w:tc>
        <w:tc>
          <w:tcPr>
            <w:tcW w:w="31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w:t>
            </w:r>
          </w:p>
        </w:tc>
        <w:tc>
          <w:tcPr>
            <w:tcW w:w="3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11</w:t>
            </w:r>
          </w:p>
        </w:tc>
        <w:tc>
          <w:tcPr>
            <w:tcW w:w="31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12</w:t>
            </w:r>
          </w:p>
        </w:tc>
        <w:tc>
          <w:tcPr>
            <w:tcW w:w="393"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13</w:t>
            </w:r>
          </w:p>
        </w:tc>
      </w:tr>
      <w:tr>
        <w:tblPrEx>
          <w:tblCellMar>
            <w:top w:w="0" w:type="dxa"/>
            <w:left w:w="108" w:type="dxa"/>
            <w:bottom w:w="0" w:type="dxa"/>
            <w:right w:w="108" w:type="dxa"/>
          </w:tblCellMar>
        </w:tblPrEx>
        <w:trPr>
          <w:trHeight w:val="402" w:hRule="atLeast"/>
        </w:trPr>
        <w:tc>
          <w:tcPr>
            <w:tcW w:w="616"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合计</w:t>
            </w:r>
          </w:p>
        </w:tc>
        <w:tc>
          <w:tcPr>
            <w:tcW w:w="840"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p>
        </w:tc>
        <w:tc>
          <w:tcPr>
            <w:tcW w:w="3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197.83</w:t>
            </w:r>
          </w:p>
        </w:tc>
        <w:tc>
          <w:tcPr>
            <w:tcW w:w="3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197.83</w:t>
            </w:r>
          </w:p>
        </w:tc>
        <w:tc>
          <w:tcPr>
            <w:tcW w:w="314" w:type="pct"/>
            <w:tcBorders>
              <w:top w:val="single" w:color="auto" w:sz="4" w:space="0"/>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14"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pPr>
          </w:p>
        </w:tc>
        <w:tc>
          <w:tcPr>
            <w:tcW w:w="393"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616"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840"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3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197.83</w:t>
            </w:r>
          </w:p>
        </w:tc>
        <w:tc>
          <w:tcPr>
            <w:tcW w:w="314"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197.83</w:t>
            </w:r>
          </w:p>
        </w:tc>
        <w:tc>
          <w:tcPr>
            <w:tcW w:w="314" w:type="pct"/>
            <w:tcBorders>
              <w:top w:val="single" w:color="auto" w:sz="4" w:space="0"/>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14"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jc w:val="right"/>
            </w:pPr>
          </w:p>
        </w:tc>
        <w:tc>
          <w:tcPr>
            <w:tcW w:w="393" w:type="pct"/>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616"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20113</w:t>
            </w:r>
          </w:p>
        </w:tc>
        <w:tc>
          <w:tcPr>
            <w:tcW w:w="84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商贸事务</w:t>
            </w:r>
          </w:p>
        </w:tc>
        <w:tc>
          <w:tcPr>
            <w:tcW w:w="31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197.83</w:t>
            </w:r>
          </w:p>
        </w:tc>
        <w:tc>
          <w:tcPr>
            <w:tcW w:w="31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197.83</w:t>
            </w:r>
          </w:p>
        </w:tc>
        <w:tc>
          <w:tcPr>
            <w:tcW w:w="314" w:type="pct"/>
            <w:tcBorders>
              <w:top w:val="single" w:color="auto" w:sz="4" w:space="0"/>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31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315" w:type="pct"/>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315"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pPr>
          </w:p>
        </w:tc>
        <w:tc>
          <w:tcPr>
            <w:tcW w:w="393" w:type="pct"/>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bl>
    <w:p>
      <w:pPr>
        <w:tabs>
          <w:tab w:val="left" w:pos="7513"/>
        </w:tabs>
        <w:spacing w:line="300" w:lineRule="auto"/>
        <w:ind w:firstLine="420" w:firstLineChars="200"/>
        <w:jc w:val="left"/>
        <w:rPr>
          <w:rFonts w:ascii="楷体" w:hAnsi="楷体" w:eastAsia="楷体" w:cs="Times New Roman"/>
          <w:kern w:val="0"/>
          <w:szCs w:val="21"/>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8" w:name="_Toc27650"/>
      <w:r>
        <w:rPr>
          <w:rFonts w:hint="eastAsia" w:ascii="黑体" w:hAnsi="黑体" w:eastAsia="黑体"/>
          <w:sz w:val="32"/>
          <w:szCs w:val="32"/>
        </w:rPr>
        <w:t>三、支出预算总表</w:t>
      </w:r>
      <w:bookmarkEnd w:id="8"/>
    </w:p>
    <w:p>
      <w:pPr>
        <w:tabs>
          <w:tab w:val="left" w:pos="7513"/>
        </w:tabs>
        <w:spacing w:line="300" w:lineRule="auto"/>
        <w:ind w:firstLine="424" w:firstLineChars="202"/>
        <w:jc w:val="left"/>
        <w:rPr>
          <w:rFonts w:ascii="楷体" w:hAnsi="楷体" w:eastAsia="楷体" w:cs="Times New Roman"/>
          <w:kern w:val="0"/>
          <w:szCs w:val="21"/>
        </w:rPr>
      </w:pPr>
    </w:p>
    <w:p>
      <w:pPr>
        <w:tabs>
          <w:tab w:val="left" w:pos="7513"/>
        </w:tabs>
        <w:spacing w:line="300" w:lineRule="auto"/>
        <w:ind w:firstLine="424" w:firstLineChars="202"/>
        <w:jc w:val="left"/>
        <w:rPr>
          <w:rFonts w:ascii="楷体" w:hAnsi="楷体" w:eastAsia="楷体" w:cs="Times New Roman"/>
          <w:kern w:val="0"/>
          <w:szCs w:val="21"/>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30"/>
        <w:gridCol w:w="3212"/>
        <w:gridCol w:w="1210"/>
        <w:gridCol w:w="1210"/>
        <w:gridCol w:w="1210"/>
        <w:gridCol w:w="1347"/>
        <w:gridCol w:w="1395"/>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lang w:val="en-US" w:eastAsia="zh-CN" w:bidi="ar"/>
              </w:rPr>
              <w:t>2024年度支出预算总表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3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7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12"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基本支出</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事业单位经营支出</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上缴上级支出</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167.83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一般公共服务支出</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167.83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20113</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商贸事务</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167.83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2011350</w:t>
            </w:r>
          </w:p>
        </w:tc>
        <w:tc>
          <w:tcPr>
            <w:tcW w:w="11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事业运行</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167.83</w:t>
            </w:r>
          </w:p>
        </w:tc>
        <w:tc>
          <w:tcPr>
            <w:tcW w:w="4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1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3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7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9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bl>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楷体" w:hAnsi="楷体" w:eastAsia="楷体" w:cs="Times New Roman"/>
          <w:kern w:val="0"/>
          <w:sz w:val="36"/>
          <w:szCs w:val="21"/>
        </w:rPr>
      </w:pPr>
      <w:bookmarkStart w:id="9" w:name="_Toc24965"/>
      <w:r>
        <w:rPr>
          <w:rFonts w:hint="eastAsia" w:ascii="黑体" w:hAnsi="黑体" w:eastAsia="黑体"/>
          <w:sz w:val="32"/>
          <w:szCs w:val="32"/>
        </w:rPr>
        <w:t>四、财政拨款收支预算总表</w:t>
      </w:r>
      <w:bookmarkEnd w:id="9"/>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77"/>
        <w:gridCol w:w="1372"/>
        <w:gridCol w:w="2753"/>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5000" w:type="pct"/>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2024年度财政拨款收支预算总表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61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07"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2376"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w:t>
            </w:r>
          </w:p>
        </w:tc>
        <w:tc>
          <w:tcPr>
            <w:tcW w:w="2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一、一般公共预算拨款收入</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二、政府性基金预算拨款收入</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三、国有资本经营预算拨款收入</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九、卫生健康支出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十、节能环保支出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十一、城乡社区支出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十二、农林水支出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十三、交通运输支出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十四、资源勘探工业信息等支出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十五、商业服务业等支出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十六、金融支出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十七、援助其他地区支出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十八、自然资源海洋气象等支出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十九、住房保障支出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二十、粮油物资储备支出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二十一、国有资本经营预算支出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二十二、灾害防治及应急管理支出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二十三、其他支出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二十四、债务还本支出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二十五、债务付息支出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二十六、债务发行费用支出</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收入合计</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c>
          <w:tcPr>
            <w:tcW w:w="16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支出合计</w:t>
            </w:r>
          </w:p>
        </w:tc>
        <w:tc>
          <w:tcPr>
            <w:tcW w:w="10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r>
    </w:tbl>
    <w:p>
      <w:pPr>
        <w:tabs>
          <w:tab w:val="left" w:pos="7513"/>
        </w:tabs>
        <w:spacing w:line="300" w:lineRule="auto"/>
        <w:ind w:firstLine="720" w:firstLineChars="200"/>
        <w:jc w:val="left"/>
        <w:rPr>
          <w:rFonts w:ascii="楷体" w:hAnsi="楷体" w:eastAsia="楷体" w:cs="Times New Roman"/>
          <w:kern w:val="0"/>
          <w:sz w:val="36"/>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0" w:name="_Toc12695"/>
      <w:r>
        <w:rPr>
          <w:rFonts w:hint="eastAsia" w:ascii="黑体" w:hAnsi="黑体" w:eastAsia="黑体"/>
          <w:sz w:val="32"/>
          <w:szCs w:val="32"/>
        </w:rPr>
        <w:t>五、一般公共预算拨款支出预算表</w:t>
      </w:r>
      <w:bookmarkEnd w:id="10"/>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79"/>
        <w:gridCol w:w="3663"/>
        <w:gridCol w:w="1142"/>
        <w:gridCol w:w="1040"/>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lang w:val="en-US" w:eastAsia="zh-CN" w:bidi="ar"/>
              </w:rPr>
              <w:t>2024年度一般公共预算拨款支出预算表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14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7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41"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1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2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9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基本支出</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1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167.83</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2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一般公共服务支出</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167.83</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20113</w:t>
            </w:r>
          </w:p>
        </w:tc>
        <w:tc>
          <w:tcPr>
            <w:tcW w:w="2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商贸事务</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167.83</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2011350</w:t>
            </w:r>
          </w:p>
        </w:tc>
        <w:tc>
          <w:tcPr>
            <w:tcW w:w="21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事业运行</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197.83</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167.83</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2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14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7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1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4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bl>
    <w:p>
      <w:pPr>
        <w:tabs>
          <w:tab w:val="left" w:pos="7513"/>
        </w:tabs>
        <w:adjustRightInd w:val="0"/>
        <w:snapToGrid w:val="0"/>
        <w:spacing w:line="600" w:lineRule="exact"/>
        <w:outlineLvl w:val="1"/>
        <w:rPr>
          <w:rFonts w:ascii="黑体" w:hAnsi="黑体" w:eastAsia="黑体"/>
          <w:sz w:val="32"/>
          <w:szCs w:val="32"/>
        </w:rPr>
      </w:pPr>
      <w:bookmarkStart w:id="11" w:name="_Toc31430"/>
      <w:r>
        <w:rPr>
          <w:rFonts w:hint="eastAsia" w:ascii="黑体" w:hAnsi="黑体" w:eastAsia="黑体"/>
          <w:sz w:val="32"/>
          <w:szCs w:val="32"/>
        </w:rPr>
        <w:t>六、政府性基金预算拨款支出预算表</w:t>
      </w:r>
      <w:bookmarkEnd w:id="11"/>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2024年度</w:t>
            </w:r>
            <w:r>
              <w:rPr>
                <w:rFonts w:hint="eastAsia" w:ascii="方正小标宋简体" w:hAnsi="宋体" w:eastAsia="方正小标宋简体" w:cs="宋体"/>
                <w:kern w:val="0"/>
                <w:sz w:val="32"/>
                <w:szCs w:val="32"/>
              </w:rPr>
              <w:t>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472" w:firstLineChars="225"/>
        <w:rPr>
          <w:rFonts w:hint="eastAsia" w:ascii="楷体" w:hAnsi="楷体" w:eastAsia="楷体" w:cs="Times New Roman"/>
          <w:kern w:val="0"/>
          <w:szCs w:val="21"/>
        </w:rPr>
      </w:pPr>
      <w:r>
        <w:rPr>
          <w:rFonts w:hint="eastAsia" w:ascii="楷体" w:hAnsi="楷体" w:eastAsia="楷体" w:cs="Times New Roman"/>
          <w:kern w:val="0"/>
          <w:szCs w:val="21"/>
        </w:rPr>
        <w:t>备注：本部门</w:t>
      </w:r>
      <w:r>
        <w:rPr>
          <w:rFonts w:hint="eastAsia" w:ascii="楷体" w:hAnsi="楷体" w:eastAsia="楷体" w:cs="Times New Roman"/>
          <w:kern w:val="0"/>
          <w:szCs w:val="21"/>
          <w:lang w:eastAsia="zh-CN"/>
        </w:rPr>
        <w:t>2024年度</w:t>
      </w:r>
      <w:r>
        <w:rPr>
          <w:rFonts w:hint="eastAsia" w:ascii="楷体" w:hAnsi="楷体" w:eastAsia="楷体" w:cs="Times New Roman"/>
          <w:kern w:val="0"/>
          <w:szCs w:val="21"/>
        </w:rPr>
        <w:t>没有使用政府性基金预算拨款安排的支出。</w:t>
      </w:r>
    </w:p>
    <w:p>
      <w:pPr>
        <w:tabs>
          <w:tab w:val="left" w:pos="7513"/>
        </w:tabs>
        <w:adjustRightInd w:val="0"/>
        <w:snapToGrid w:val="0"/>
        <w:spacing w:line="300" w:lineRule="auto"/>
        <w:ind w:firstLine="403" w:firstLineChars="126"/>
        <w:outlineLvl w:val="1"/>
        <w:rPr>
          <w:rFonts w:ascii="黑体" w:hAnsi="黑体" w:eastAsia="黑体"/>
          <w:sz w:val="32"/>
          <w:szCs w:val="32"/>
        </w:rPr>
      </w:pPr>
      <w:bookmarkStart w:id="12" w:name="_Toc20858"/>
      <w:r>
        <w:rPr>
          <w:rFonts w:hint="eastAsia" w:ascii="黑体" w:hAnsi="黑体" w:eastAsia="黑体"/>
          <w:sz w:val="32"/>
          <w:szCs w:val="32"/>
        </w:rPr>
        <w:t>七、国有资本经营预算拨款支出预算表</w:t>
      </w:r>
      <w:bookmarkEnd w:id="12"/>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2024年度</w:t>
            </w:r>
            <w:r>
              <w:rPr>
                <w:rFonts w:hint="eastAsia" w:ascii="方正小标宋简体" w:hAnsi="宋体" w:eastAsia="方正小标宋简体" w:cs="宋体"/>
                <w:kern w:val="0"/>
                <w:sz w:val="32"/>
                <w:szCs w:val="32"/>
              </w:rPr>
              <w:t>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42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eastAsia="zh-CN"/>
        </w:rPr>
        <w:t>2024年度</w:t>
      </w:r>
      <w:r>
        <w:rPr>
          <w:rFonts w:hint="eastAsia" w:ascii="楷体" w:hAnsi="楷体" w:eastAsia="楷体" w:cs="Times New Roman"/>
          <w:kern w:val="0"/>
          <w:szCs w:val="21"/>
        </w:rPr>
        <w:t>没有使用国有资本经营预算拨款安排的支出。</w:t>
      </w:r>
    </w:p>
    <w:p>
      <w:pPr>
        <w:tabs>
          <w:tab w:val="left" w:pos="7513"/>
        </w:tabs>
        <w:adjustRightInd w:val="0"/>
        <w:snapToGrid w:val="0"/>
        <w:spacing w:line="600" w:lineRule="exact"/>
        <w:outlineLvl w:val="1"/>
        <w:rPr>
          <w:rFonts w:ascii="黑体" w:hAnsi="黑体" w:eastAsia="黑体"/>
          <w:sz w:val="32"/>
          <w:szCs w:val="32"/>
        </w:rPr>
      </w:pPr>
      <w:bookmarkStart w:id="13" w:name="_Toc23368"/>
      <w:r>
        <w:rPr>
          <w:rFonts w:hint="eastAsia" w:ascii="黑体" w:hAnsi="黑体" w:eastAsia="黑体"/>
          <w:sz w:val="32"/>
          <w:szCs w:val="32"/>
        </w:rPr>
        <w:t>八、一般公共预算支出经济分类情况表</w:t>
      </w:r>
      <w:bookmarkEnd w:id="13"/>
    </w:p>
    <w:tbl>
      <w:tblPr>
        <w:tblStyle w:val="8"/>
        <w:tblW w:w="5000" w:type="pct"/>
        <w:tblInd w:w="0" w:type="dxa"/>
        <w:tblLayout w:type="autofit"/>
        <w:tblCellMar>
          <w:top w:w="0" w:type="dxa"/>
          <w:left w:w="108" w:type="dxa"/>
          <w:bottom w:w="0" w:type="dxa"/>
          <w:right w:w="108" w:type="dxa"/>
        </w:tblCellMar>
      </w:tblPr>
      <w:tblGrid>
        <w:gridCol w:w="1501"/>
        <w:gridCol w:w="4379"/>
        <w:gridCol w:w="2642"/>
      </w:tblGrid>
      <w:tr>
        <w:tblPrEx>
          <w:tblCellMar>
            <w:top w:w="0" w:type="dxa"/>
            <w:left w:w="108" w:type="dxa"/>
            <w:bottom w:w="0" w:type="dxa"/>
            <w:right w:w="108" w:type="dxa"/>
          </w:tblCellMar>
        </w:tblPrEx>
        <w:trPr>
          <w:trHeight w:val="743" w:hRule="atLeast"/>
        </w:trPr>
        <w:tc>
          <w:tcPr>
            <w:tcW w:w="5000" w:type="pct"/>
            <w:gridSpan w:val="3"/>
            <w:tcBorders>
              <w:top w:val="nil"/>
              <w:left w:val="nil"/>
              <w:bottom w:val="nil"/>
              <w:right w:val="nil"/>
            </w:tcBorders>
            <w:shd w:val="clear" w:color="000000" w:fill="FFFFFF"/>
            <w:noWrap/>
            <w:vAlign w:val="center"/>
          </w:tcPr>
          <w:p>
            <w:pPr>
              <w:keepNext w:val="0"/>
              <w:keepLines w:val="0"/>
              <w:widowControl/>
              <w:suppressLineNumbers w:val="0"/>
              <w:jc w:val="center"/>
              <w:textAlignment w:val="center"/>
              <w:rPr>
                <w:rFonts w:ascii="方正小标宋简体" w:hAnsi="宋体" w:eastAsia="方正小标宋简体" w:cs="宋体"/>
                <w:kern w:val="0"/>
                <w:sz w:val="32"/>
                <w:szCs w:val="32"/>
              </w:rPr>
            </w:pPr>
            <w:r>
              <w:rPr>
                <w:rFonts w:ascii="宋体" w:hAnsi="宋体" w:eastAsia="宋体" w:cs="宋体"/>
                <w:i w:val="0"/>
                <w:iCs w:val="0"/>
                <w:color w:val="000000"/>
                <w:kern w:val="0"/>
                <w:sz w:val="30"/>
                <w:szCs w:val="30"/>
                <w:u w:val="none"/>
                <w:lang w:val="en-US" w:eastAsia="zh-CN" w:bidi="ar"/>
              </w:rPr>
              <w:t>2024年度一般公共预算支出经济分类情况表</w:t>
            </w:r>
          </w:p>
        </w:tc>
      </w:tr>
      <w:tr>
        <w:tblPrEx>
          <w:tblCellMar>
            <w:top w:w="0" w:type="dxa"/>
            <w:left w:w="108" w:type="dxa"/>
            <w:bottom w:w="0" w:type="dxa"/>
            <w:right w:w="108" w:type="dxa"/>
          </w:tblCellMar>
        </w:tblPrEx>
        <w:trPr>
          <w:trHeight w:val="360" w:hRule="atLeast"/>
        </w:trPr>
        <w:tc>
          <w:tcPr>
            <w:tcW w:w="881" w:type="pct"/>
            <w:tcBorders>
              <w:top w:val="nil"/>
              <w:left w:val="nil"/>
              <w:bottom w:val="nil"/>
              <w:right w:val="nil"/>
            </w:tcBorders>
            <w:shd w:val="clear" w:color="000000" w:fill="FFFFFF"/>
            <w:noWrap/>
            <w:vAlign w:val="center"/>
          </w:tcPr>
          <w:p>
            <w:pPr>
              <w:rPr>
                <w:rFonts w:ascii="宋体" w:hAnsi="宋体" w:eastAsia="宋体" w:cs="宋体"/>
                <w:color w:val="000000"/>
                <w:kern w:val="0"/>
                <w:sz w:val="20"/>
                <w:szCs w:val="20"/>
              </w:rPr>
            </w:pPr>
          </w:p>
        </w:tc>
        <w:tc>
          <w:tcPr>
            <w:tcW w:w="2569" w:type="pct"/>
            <w:tcBorders>
              <w:top w:val="nil"/>
              <w:left w:val="nil"/>
              <w:bottom w:val="nil"/>
              <w:right w:val="nil"/>
            </w:tcBorders>
            <w:shd w:val="clear" w:color="auto" w:fill="auto"/>
            <w:noWrap/>
            <w:vAlign w:val="center"/>
          </w:tcPr>
          <w:p>
            <w:pPr>
              <w:rPr>
                <w:rFonts w:ascii="宋体" w:hAnsi="宋体" w:eastAsia="宋体" w:cs="宋体"/>
                <w:kern w:val="0"/>
                <w:sz w:val="20"/>
                <w:szCs w:val="20"/>
              </w:rPr>
            </w:pPr>
          </w:p>
        </w:tc>
        <w:tc>
          <w:tcPr>
            <w:tcW w:w="1549" w:type="pct"/>
            <w:tcBorders>
              <w:top w:val="nil"/>
              <w:left w:val="nil"/>
              <w:bottom w:val="nil"/>
              <w:right w:val="nil"/>
            </w:tcBorders>
            <w:shd w:val="clear" w:color="000000" w:fill="FFFFFF"/>
            <w:noWrap/>
            <w:vAlign w:val="center"/>
          </w:tcPr>
          <w:p>
            <w:pPr>
              <w:keepNext w:val="0"/>
              <w:keepLines w:val="0"/>
              <w:widowControl/>
              <w:suppressLineNumbers w:val="0"/>
              <w:jc w:val="righ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单位：万元</w:t>
            </w:r>
          </w:p>
        </w:tc>
      </w:tr>
      <w:tr>
        <w:tblPrEx>
          <w:tblCellMar>
            <w:top w:w="0" w:type="dxa"/>
            <w:left w:w="108" w:type="dxa"/>
            <w:bottom w:w="0" w:type="dxa"/>
            <w:right w:w="108" w:type="dxa"/>
          </w:tblCellMar>
        </w:tblPrEx>
        <w:trPr>
          <w:trHeight w:val="630"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科目编码</w:t>
            </w:r>
          </w:p>
        </w:tc>
        <w:tc>
          <w:tcPr>
            <w:tcW w:w="256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科目名称</w:t>
            </w:r>
          </w:p>
        </w:tc>
        <w:tc>
          <w:tcPr>
            <w:tcW w:w="1549" w:type="pct"/>
            <w:tcBorders>
              <w:top w:val="single" w:color="000000" w:sz="4" w:space="0"/>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预算数</w:t>
            </w:r>
          </w:p>
        </w:tc>
      </w:tr>
      <w:tr>
        <w:tblPrEx>
          <w:tblCellMar>
            <w:top w:w="0" w:type="dxa"/>
            <w:left w:w="108" w:type="dxa"/>
            <w:bottom w:w="0" w:type="dxa"/>
            <w:right w:w="108" w:type="dxa"/>
          </w:tblCellMar>
        </w:tblPrEx>
        <w:trPr>
          <w:trHeight w:val="402" w:hRule="atLeast"/>
        </w:trPr>
        <w:tc>
          <w:tcPr>
            <w:tcW w:w="8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1</w:t>
            </w:r>
          </w:p>
        </w:tc>
        <w:tc>
          <w:tcPr>
            <w:tcW w:w="256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ascii="宋体" w:hAnsi="宋体" w:eastAsia="宋体" w:cs="宋体"/>
                <w:i w:val="0"/>
                <w:iCs w:val="0"/>
                <w:color w:val="000000"/>
                <w:kern w:val="0"/>
                <w:sz w:val="18"/>
                <w:szCs w:val="18"/>
                <w:u w:val="none"/>
                <w:lang w:val="en-US" w:eastAsia="zh-CN" w:bidi="ar"/>
              </w:rPr>
              <w:t>2</w:t>
            </w:r>
          </w:p>
        </w:tc>
        <w:tc>
          <w:tcPr>
            <w:tcW w:w="154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r>
              <w:rPr>
                <w:rFonts w:ascii="宋体" w:hAnsi="宋体" w:eastAsia="宋体" w:cs="宋体"/>
                <w:i w:val="0"/>
                <w:iCs w:val="0"/>
                <w:color w:val="000000"/>
                <w:kern w:val="0"/>
                <w:sz w:val="18"/>
                <w:szCs w:val="18"/>
                <w:u w:val="none"/>
                <w:lang w:val="en-US" w:eastAsia="zh-CN" w:bidi="ar"/>
              </w:rPr>
              <w:t>3</w:t>
            </w:r>
          </w:p>
        </w:tc>
      </w:tr>
      <w:tr>
        <w:tblPrEx>
          <w:tblCellMar>
            <w:top w:w="0" w:type="dxa"/>
            <w:left w:w="108" w:type="dxa"/>
            <w:bottom w:w="0" w:type="dxa"/>
            <w:right w:w="108" w:type="dxa"/>
          </w:tblCellMar>
        </w:tblPrEx>
        <w:trPr>
          <w:trHeight w:val="402" w:hRule="atLeast"/>
        </w:trPr>
        <w:tc>
          <w:tcPr>
            <w:tcW w:w="88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合计</w:t>
            </w:r>
          </w:p>
        </w:tc>
        <w:tc>
          <w:tcPr>
            <w:tcW w:w="2569" w:type="pct"/>
            <w:tcBorders>
              <w:top w:val="nil"/>
              <w:left w:val="nil"/>
              <w:bottom w:val="single" w:color="000000" w:sz="4" w:space="0"/>
              <w:right w:val="single" w:color="000000" w:sz="4" w:space="0"/>
            </w:tcBorders>
            <w:shd w:val="clear" w:color="auto" w:fill="auto"/>
            <w:vAlign w:val="center"/>
          </w:tcPr>
          <w:p>
            <w:pPr>
              <w:rPr>
                <w:rFonts w:ascii="宋体" w:hAnsi="宋体" w:eastAsia="宋体" w:cs="宋体"/>
                <w:color w:val="000000"/>
                <w:kern w:val="0"/>
                <w:sz w:val="20"/>
                <w:szCs w:val="20"/>
              </w:rPr>
            </w:pPr>
          </w:p>
        </w:tc>
        <w:tc>
          <w:tcPr>
            <w:tcW w:w="1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197.83</w:t>
            </w:r>
          </w:p>
        </w:tc>
      </w:tr>
      <w:tr>
        <w:tblPrEx>
          <w:tblCellMar>
            <w:top w:w="0" w:type="dxa"/>
            <w:left w:w="108" w:type="dxa"/>
            <w:bottom w:w="0" w:type="dxa"/>
            <w:right w:w="108" w:type="dxa"/>
          </w:tblCellMar>
        </w:tblPrEx>
        <w:trPr>
          <w:trHeight w:val="402" w:hRule="atLeast"/>
        </w:trPr>
        <w:tc>
          <w:tcPr>
            <w:tcW w:w="88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301</w:t>
            </w:r>
          </w:p>
        </w:tc>
        <w:tc>
          <w:tcPr>
            <w:tcW w:w="25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工资福利支出</w:t>
            </w:r>
          </w:p>
        </w:tc>
        <w:tc>
          <w:tcPr>
            <w:tcW w:w="1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153.63</w:t>
            </w:r>
          </w:p>
        </w:tc>
      </w:tr>
      <w:tr>
        <w:tblPrEx>
          <w:tblCellMar>
            <w:top w:w="0" w:type="dxa"/>
            <w:left w:w="108" w:type="dxa"/>
            <w:bottom w:w="0" w:type="dxa"/>
            <w:right w:w="108" w:type="dxa"/>
          </w:tblCellMar>
        </w:tblPrEx>
        <w:trPr>
          <w:trHeight w:val="402" w:hRule="atLeast"/>
        </w:trPr>
        <w:tc>
          <w:tcPr>
            <w:tcW w:w="88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302</w:t>
            </w:r>
          </w:p>
        </w:tc>
        <w:tc>
          <w:tcPr>
            <w:tcW w:w="25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商品和服务支出</w:t>
            </w:r>
          </w:p>
        </w:tc>
        <w:tc>
          <w:tcPr>
            <w:tcW w:w="1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42.95</w:t>
            </w:r>
          </w:p>
        </w:tc>
      </w:tr>
      <w:tr>
        <w:tblPrEx>
          <w:tblCellMar>
            <w:top w:w="0" w:type="dxa"/>
            <w:left w:w="108" w:type="dxa"/>
            <w:bottom w:w="0" w:type="dxa"/>
            <w:right w:w="108" w:type="dxa"/>
          </w:tblCellMar>
        </w:tblPrEx>
        <w:trPr>
          <w:trHeight w:val="402" w:hRule="atLeast"/>
        </w:trPr>
        <w:tc>
          <w:tcPr>
            <w:tcW w:w="88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303</w:t>
            </w:r>
          </w:p>
        </w:tc>
        <w:tc>
          <w:tcPr>
            <w:tcW w:w="25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对个人和家庭的补助</w:t>
            </w:r>
          </w:p>
        </w:tc>
        <w:tc>
          <w:tcPr>
            <w:tcW w:w="154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88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307</w:t>
            </w:r>
          </w:p>
        </w:tc>
        <w:tc>
          <w:tcPr>
            <w:tcW w:w="25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债务利息及费用支出</w:t>
            </w:r>
          </w:p>
        </w:tc>
        <w:tc>
          <w:tcPr>
            <w:tcW w:w="154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88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309</w:t>
            </w:r>
          </w:p>
        </w:tc>
        <w:tc>
          <w:tcPr>
            <w:tcW w:w="25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资本性支出（基本建设）</w:t>
            </w:r>
          </w:p>
        </w:tc>
        <w:tc>
          <w:tcPr>
            <w:tcW w:w="154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88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310</w:t>
            </w:r>
          </w:p>
        </w:tc>
        <w:tc>
          <w:tcPr>
            <w:tcW w:w="25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资本性支出</w:t>
            </w:r>
          </w:p>
        </w:tc>
        <w:tc>
          <w:tcPr>
            <w:tcW w:w="154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1.25</w:t>
            </w:r>
          </w:p>
        </w:tc>
      </w:tr>
      <w:tr>
        <w:tblPrEx>
          <w:tblCellMar>
            <w:top w:w="0" w:type="dxa"/>
            <w:left w:w="108" w:type="dxa"/>
            <w:bottom w:w="0" w:type="dxa"/>
            <w:right w:w="108" w:type="dxa"/>
          </w:tblCellMar>
        </w:tblPrEx>
        <w:trPr>
          <w:trHeight w:val="402" w:hRule="atLeast"/>
        </w:trPr>
        <w:tc>
          <w:tcPr>
            <w:tcW w:w="88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311</w:t>
            </w:r>
          </w:p>
        </w:tc>
        <w:tc>
          <w:tcPr>
            <w:tcW w:w="25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对企业补助（基本建设）</w:t>
            </w:r>
          </w:p>
        </w:tc>
        <w:tc>
          <w:tcPr>
            <w:tcW w:w="154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88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312</w:t>
            </w:r>
          </w:p>
        </w:tc>
        <w:tc>
          <w:tcPr>
            <w:tcW w:w="25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对企业补助</w:t>
            </w:r>
          </w:p>
        </w:tc>
        <w:tc>
          <w:tcPr>
            <w:tcW w:w="154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88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313</w:t>
            </w:r>
          </w:p>
        </w:tc>
        <w:tc>
          <w:tcPr>
            <w:tcW w:w="25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ascii="宋体" w:hAnsi="宋体" w:eastAsia="宋体" w:cs="宋体"/>
                <w:i w:val="0"/>
                <w:iCs w:val="0"/>
                <w:color w:val="000000"/>
                <w:kern w:val="0"/>
                <w:sz w:val="18"/>
                <w:szCs w:val="18"/>
                <w:u w:val="none"/>
                <w:lang w:val="en-US" w:eastAsia="zh-CN" w:bidi="ar"/>
              </w:rPr>
              <w:t>对社会保障基金补助</w:t>
            </w:r>
          </w:p>
        </w:tc>
        <w:tc>
          <w:tcPr>
            <w:tcW w:w="1549" w:type="pct"/>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宋体"/>
                <w:kern w:val="0"/>
                <w:sz w:val="24"/>
                <w:szCs w:val="24"/>
              </w:rPr>
            </w:pP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4" w:name="_Toc26124"/>
      <w:r>
        <w:rPr>
          <w:rFonts w:hint="eastAsia" w:ascii="黑体" w:hAnsi="黑体" w:eastAsia="黑体"/>
          <w:sz w:val="32"/>
          <w:szCs w:val="32"/>
        </w:rPr>
        <w:t>九、一般公共预算基本支出经济分类情况表</w:t>
      </w:r>
      <w:bookmarkEnd w:id="14"/>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96"/>
        <w:gridCol w:w="4428"/>
        <w:gridCol w:w="1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5000" w:type="pct"/>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lang w:val="en-US" w:eastAsia="zh-CN" w:bidi="ar"/>
              </w:rPr>
              <w:t>2024年度一般公共预算基本支出经济分类情况表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598"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171"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伙食补助费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职业年金缴费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职工基本医疗保险缴费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其他工资福利支出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咨询费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手续费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水费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电费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邮电费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取暖费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物业管理费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因公出国（境）费用</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维修(护)费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租赁费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专用材料费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被装购置费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专用燃料费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劳务费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委托业务费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30240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税金及附加费用</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离休费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退职（役）费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抚恤金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生活补助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救济费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医疗费补助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助学金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奖励金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30310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个人农业生产补贴</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30311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代缴社会保险费</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其他对个人和家庭的补助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债务利息及费用支出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国内债务付息</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国外债务付息</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国内债务发行费用</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30704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国外债务发行费用</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资本性支出（基本建设）</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房屋建筑物购建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办公设备购置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专用设备购置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基础设施建设</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大型修缮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信息网络及软件购置更新</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物资储备</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30913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30919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其他交通工具购置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30921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文物和陈列品购置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30922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无形资产购置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其他基本建设支出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房屋建筑物购建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办公设备购置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专用设备购置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基础设施建设</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大型修缮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信息网络及软件购置更新</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物资储备</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土地补偿</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31010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安置补助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31011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地上附着物和青苗补偿</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31012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拆迁补偿</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31013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31019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其他交通工具购置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31021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文物和陈列品购置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31022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无形资产购置</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31099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其他资本性支出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对企业补助（基本建设）</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31101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资本金注入（基本建设）</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31199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其他对企业补助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对企业补助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31201</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资本金注入</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政府投资基金股权投资</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31204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费用补贴</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31205</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利息补贴</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31206</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其他资本性补助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其他对企业补助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对社会保障基金补助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31302</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对社会保险基金补助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31303</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补充全国社会保障基金</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31304</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对机关事业单位职业年金的补助</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39907</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国家赔偿费用支出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39908</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对民间非营利组织和群众性自治组织补贴</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39909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经常性赠与</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39910</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资本性赠与</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39999</w:t>
            </w:r>
          </w:p>
        </w:tc>
        <w:tc>
          <w:tcPr>
            <w:tcW w:w="2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其他支出</w:t>
            </w:r>
          </w:p>
        </w:tc>
        <w:tc>
          <w:tcPr>
            <w:tcW w:w="11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tabs>
          <w:tab w:val="left" w:pos="7513"/>
        </w:tabs>
        <w:adjustRightInd w:val="0"/>
        <w:snapToGrid w:val="0"/>
        <w:spacing w:line="600" w:lineRule="exact"/>
        <w:rPr>
          <w:rFonts w:hint="eastAsia" w:ascii="黑体" w:hAnsi="黑体" w:eastAsia="黑体"/>
          <w:sz w:val="32"/>
          <w:szCs w:val="32"/>
        </w:rPr>
      </w:pPr>
    </w:p>
    <w:p>
      <w:pPr>
        <w:tabs>
          <w:tab w:val="left" w:pos="7513"/>
        </w:tabs>
        <w:adjustRightInd w:val="0"/>
        <w:snapToGrid w:val="0"/>
        <w:spacing w:line="600" w:lineRule="exact"/>
        <w:outlineLvl w:val="1"/>
        <w:rPr>
          <w:rFonts w:ascii="黑体" w:hAnsi="黑体" w:eastAsia="黑体"/>
          <w:sz w:val="32"/>
          <w:szCs w:val="32"/>
        </w:rPr>
      </w:pPr>
      <w:bookmarkStart w:id="15" w:name="_Toc5994"/>
      <w:r>
        <w:rPr>
          <w:rFonts w:hint="eastAsia" w:ascii="黑体" w:hAnsi="黑体" w:eastAsia="黑体"/>
          <w:sz w:val="32"/>
          <w:szCs w:val="32"/>
        </w:rPr>
        <w:t>十、一般公共预算“三公”经费支出预算表</w:t>
      </w:r>
      <w:bookmarkEnd w:id="15"/>
    </w:p>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05"/>
        <w:gridCol w:w="3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5000" w:type="pct"/>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2024年度一般公共预算“三公”经费支出预算表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769"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1、因公出国（境）费用</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2、公务接待费</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3、公务用车购置及运行费</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其中：（1）公务用车购置费</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3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（2）公务用车运行费</w:t>
            </w:r>
          </w:p>
        </w:tc>
        <w:tc>
          <w:tcPr>
            <w:tcW w:w="17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r>
    </w:tbl>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6" w:name="_Toc28610"/>
      <w:r>
        <w:rPr>
          <w:rFonts w:hint="eastAsia" w:ascii="黑体" w:hAnsi="黑体" w:eastAsia="黑体"/>
          <w:sz w:val="32"/>
          <w:szCs w:val="32"/>
        </w:rPr>
        <w:t>十一、部门专项资金管理清单目录</w:t>
      </w:r>
      <w:bookmarkEnd w:id="16"/>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4"/>
        <w:gridCol w:w="1301"/>
        <w:gridCol w:w="2302"/>
        <w:gridCol w:w="513"/>
        <w:gridCol w:w="1797"/>
        <w:gridCol w:w="2410"/>
        <w:gridCol w:w="757"/>
        <w:gridCol w:w="935"/>
        <w:gridCol w:w="819"/>
        <w:gridCol w:w="862"/>
        <w:gridCol w:w="853"/>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30"/>
                <w:szCs w:val="30"/>
                <w:u w:val="none"/>
              </w:rPr>
            </w:pPr>
            <w:r>
              <w:rPr>
                <w:rFonts w:ascii="宋体" w:hAnsi="宋体" w:eastAsia="宋体" w:cs="宋体"/>
                <w:i w:val="0"/>
                <w:iCs w:val="0"/>
                <w:color w:val="000000"/>
                <w:kern w:val="0"/>
                <w:sz w:val="30"/>
                <w:szCs w:val="30"/>
                <w:u w:val="none"/>
                <w:lang w:val="en-US" w:eastAsia="zh-CN" w:bidi="ar"/>
              </w:rPr>
              <w:t>2024年度部门专项资金管理清单目录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6"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45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3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5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67"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3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289"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0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0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303"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主管部门名称</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专项资金立项项目名称</w:t>
            </w:r>
          </w:p>
        </w:tc>
        <w:tc>
          <w:tcPr>
            <w:tcW w:w="8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执行年限</w:t>
            </w:r>
          </w:p>
        </w:tc>
        <w:tc>
          <w:tcPr>
            <w:tcW w:w="6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实施规划</w:t>
            </w:r>
          </w:p>
        </w:tc>
        <w:tc>
          <w:tcPr>
            <w:tcW w:w="8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总体绩效目标</w:t>
            </w: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支出级次</w:t>
            </w:r>
          </w:p>
        </w:tc>
        <w:tc>
          <w:tcPr>
            <w:tcW w:w="122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资金拼盘</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资金分配办法及支出标准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2" w:hRule="atLeast"/>
        </w:trPr>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福州市鼓楼区商务局</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招商专项经费</w:t>
            </w:r>
          </w:p>
        </w:tc>
        <w:tc>
          <w:tcPr>
            <w:tcW w:w="8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lt;福州市招商落地深化攻坚行动方案的通知&gt;榕政办[2023]19号的工作要求，完成市里下达的招商项目任务目标、编制印刷招商宣传画册和政策汇编、开展外出招商活动、接待到访客商、举办招商相关论坛活动等。</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招商经费30万元，其中包含：招商接待，差旅，招商推介会，招商宣传画册印制、招商活动宣传等支出。</w:t>
            </w:r>
          </w:p>
        </w:tc>
        <w:tc>
          <w:tcPr>
            <w:tcW w:w="8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完成省、市、区下达的各项招商任务，确保招商引资工作成效在全市排名前列。     </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30.00</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项目法</w:t>
            </w:r>
          </w:p>
        </w:tc>
      </w:tr>
    </w:tbl>
    <w:p>
      <w:pPr>
        <w:tabs>
          <w:tab w:val="left" w:pos="798"/>
        </w:tabs>
        <w:spacing w:line="240" w:lineRule="auto"/>
        <w:ind w:firstLine="720" w:firstLineChars="200"/>
        <w:jc w:val="center"/>
        <w:rPr>
          <w:rFonts w:ascii="楷体" w:hAnsi="楷体" w:eastAsia="楷体"/>
          <w:sz w:val="36"/>
          <w:szCs w:val="36"/>
          <w:lang w:eastAsia="zh-CN"/>
        </w:rPr>
      </w:pPr>
    </w:p>
    <w:p>
      <w:pPr>
        <w:tabs>
          <w:tab w:val="left" w:pos="798"/>
        </w:tabs>
        <w:spacing w:line="240" w:lineRule="auto"/>
        <w:ind w:firstLine="720" w:firstLineChars="200"/>
        <w:jc w:val="center"/>
        <w:rPr>
          <w:rFonts w:ascii="楷体" w:hAnsi="楷体" w:eastAsia="楷体"/>
          <w:sz w:val="36"/>
          <w:szCs w:val="36"/>
          <w:lang w:eastAsia="zh-CN"/>
        </w:rPr>
        <w:sectPr>
          <w:pgSz w:w="16838" w:h="11906" w:orient="landscape"/>
          <w:pgMar w:top="1800" w:right="1440" w:bottom="1800" w:left="1440" w:header="851" w:footer="992" w:gutter="0"/>
          <w:cols w:space="425" w:num="1"/>
          <w:docGrid w:type="lines" w:linePitch="312" w:charSpace="0"/>
        </w:sect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center"/>
        <w:rPr>
          <w:rFonts w:ascii="黑体" w:hAnsi="黑体" w:eastAsia="黑体"/>
          <w:sz w:val="36"/>
          <w:szCs w:val="36"/>
          <w:lang w:eastAsia="zh-CN"/>
        </w:rPr>
      </w:pPr>
    </w:p>
    <w:p>
      <w:pPr>
        <w:pStyle w:val="4"/>
        <w:jc w:val="left"/>
        <w:outlineLvl w:val="0"/>
        <w:rPr>
          <w:rFonts w:ascii="黑体" w:hAnsi="黑体" w:eastAsia="黑体"/>
          <w:sz w:val="56"/>
          <w:szCs w:val="36"/>
          <w:lang w:eastAsia="zh-CN"/>
        </w:rPr>
      </w:pPr>
      <w:bookmarkStart w:id="17" w:name="_Toc15632"/>
      <w:r>
        <w:rPr>
          <w:rFonts w:hint="eastAsia" w:ascii="黑体" w:hAnsi="黑体" w:eastAsia="黑体"/>
          <w:sz w:val="56"/>
          <w:szCs w:val="36"/>
          <w:lang w:eastAsia="zh-CN"/>
        </w:rPr>
        <w:t>第三部分</w:t>
      </w:r>
      <w:r>
        <w:rPr>
          <w:rFonts w:ascii="黑体" w:hAnsi="黑体" w:eastAsia="黑体"/>
          <w:sz w:val="56"/>
          <w:szCs w:val="36"/>
          <w:lang w:eastAsia="zh-CN"/>
        </w:rPr>
        <w:t xml:space="preserve"> </w:t>
      </w:r>
      <w:r>
        <w:rPr>
          <w:rFonts w:hint="eastAsia" w:ascii="黑体" w:hAnsi="黑体" w:eastAsia="黑体"/>
          <w:sz w:val="56"/>
          <w:szCs w:val="36"/>
          <w:lang w:val="en-US" w:eastAsia="zh-CN"/>
        </w:rPr>
        <w:t xml:space="preserve"> 2024年度</w:t>
      </w:r>
      <w:r>
        <w:rPr>
          <w:rFonts w:hint="eastAsia" w:ascii="黑体" w:hAnsi="黑体" w:eastAsia="黑体"/>
          <w:sz w:val="56"/>
          <w:szCs w:val="36"/>
          <w:lang w:eastAsia="zh-CN"/>
        </w:rPr>
        <w:t>部门预算情况说明</w:t>
      </w:r>
      <w:bookmarkEnd w:id="17"/>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b w:val="0"/>
          <w:sz w:val="32"/>
          <w:szCs w:val="32"/>
        </w:rPr>
      </w:pPr>
      <w:bookmarkStart w:id="18" w:name="_Toc16148"/>
      <w:r>
        <w:rPr>
          <w:rFonts w:hint="eastAsia" w:ascii="黑体" w:hAnsi="黑体" w:eastAsia="黑体" w:cstheme="minorBidi"/>
          <w:b w:val="0"/>
          <w:kern w:val="2"/>
          <w:sz w:val="32"/>
          <w:szCs w:val="32"/>
          <w:lang w:eastAsia="zh-CN"/>
        </w:rPr>
        <w:t>一、预算收支总体情况</w:t>
      </w:r>
      <w:bookmarkEnd w:id="18"/>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eastAsia="zh-CN"/>
        </w:rPr>
        <w:t>2024年度</w:t>
      </w:r>
      <w:r>
        <w:rPr>
          <w:rFonts w:hint="eastAsia" w:ascii="仿宋" w:hAnsi="仿宋" w:eastAsia="仿宋"/>
          <w:sz w:val="32"/>
          <w:szCs w:val="32"/>
        </w:rPr>
        <w:t>，</w:t>
      </w:r>
      <w:r>
        <w:rPr>
          <w:rFonts w:hint="eastAsia" w:ascii="仿宋" w:hAnsi="仿宋" w:eastAsia="仿宋" w:cs="仿宋_GB2312"/>
          <w:sz w:val="32"/>
          <w:szCs w:val="32"/>
          <w:lang w:eastAsia="zh-CN"/>
        </w:rPr>
        <w:t>鼓楼区招商服务中心</w:t>
      </w:r>
      <w:r>
        <w:rPr>
          <w:rFonts w:hint="eastAsia" w:ascii="仿宋" w:hAnsi="仿宋" w:eastAsia="仿宋"/>
          <w:sz w:val="32"/>
          <w:szCs w:val="32"/>
        </w:rPr>
        <w:t>收入预算为</w:t>
      </w:r>
      <w:r>
        <w:rPr>
          <w:rFonts w:hint="eastAsia" w:ascii="仿宋" w:hAnsi="仿宋" w:eastAsia="仿宋" w:cs="仿宋_GB2312"/>
          <w:sz w:val="32"/>
          <w:szCs w:val="32"/>
        </w:rPr>
        <w:t>197.83</w:t>
      </w:r>
      <w:r>
        <w:rPr>
          <w:rFonts w:hint="eastAsia" w:ascii="仿宋" w:hAnsi="仿宋" w:eastAsia="仿宋"/>
          <w:sz w:val="32"/>
          <w:szCs w:val="32"/>
        </w:rPr>
        <w:t>万元，比上年增加</w:t>
      </w:r>
      <w:r>
        <w:rPr>
          <w:rFonts w:hint="eastAsia" w:ascii="仿宋" w:hAnsi="仿宋" w:eastAsia="仿宋"/>
          <w:sz w:val="32"/>
          <w:szCs w:val="32"/>
          <w:lang w:val="en-US" w:eastAsia="zh-CN"/>
        </w:rPr>
        <w:t>66.6</w:t>
      </w:r>
      <w:r>
        <w:rPr>
          <w:rFonts w:hint="eastAsia" w:ascii="仿宋" w:hAnsi="仿宋" w:eastAsia="仿宋"/>
          <w:sz w:val="32"/>
          <w:szCs w:val="32"/>
        </w:rPr>
        <w:t>万元，主要原因是</w:t>
      </w:r>
      <w:r>
        <w:rPr>
          <w:rFonts w:hint="eastAsia" w:ascii="仿宋" w:hAnsi="仿宋" w:eastAsia="仿宋" w:cs="仿宋_GB2312"/>
          <w:sz w:val="32"/>
          <w:szCs w:val="32"/>
          <w:lang w:eastAsia="zh-CN"/>
        </w:rPr>
        <w:t>机构改革人员变动人员经费增加</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rPr>
        <w:t>197.83</w:t>
      </w:r>
      <w:r>
        <w:rPr>
          <w:rFonts w:hint="eastAsia" w:ascii="仿宋" w:hAnsi="仿宋" w:eastAsia="仿宋"/>
          <w:sz w:val="32"/>
          <w:szCs w:val="32"/>
        </w:rPr>
        <w:t>万元、政府性基金预算拨款收入</w:t>
      </w:r>
      <w:r>
        <w:rPr>
          <w:rFonts w:hint="eastAsia" w:ascii="仿宋" w:hAnsi="仿宋" w:eastAsia="仿宋" w:cs="仿宋_GB2312"/>
          <w:sz w:val="32"/>
          <w:szCs w:val="32"/>
          <w:lang w:val="en-US" w:eastAsia="zh-CN"/>
        </w:rPr>
        <w:t>0</w:t>
      </w:r>
      <w:r>
        <w:rPr>
          <w:rFonts w:hint="eastAsia" w:ascii="仿宋" w:hAnsi="仿宋" w:eastAsia="仿宋"/>
          <w:sz w:val="32"/>
          <w:szCs w:val="32"/>
        </w:rPr>
        <w:t>万元、国有资本经营预算拨款收入</w:t>
      </w:r>
      <w:r>
        <w:rPr>
          <w:rFonts w:hint="eastAsia" w:ascii="仿宋" w:hAnsi="仿宋" w:eastAsia="仿宋" w:cs="仿宋_GB2312"/>
          <w:sz w:val="32"/>
          <w:szCs w:val="32"/>
          <w:lang w:val="en-US" w:eastAsia="zh-CN"/>
        </w:rPr>
        <w:t>0</w:t>
      </w:r>
      <w:r>
        <w:rPr>
          <w:rFonts w:hint="eastAsia" w:ascii="仿宋" w:hAnsi="仿宋" w:eastAsia="仿宋"/>
          <w:sz w:val="32"/>
          <w:szCs w:val="32"/>
        </w:rPr>
        <w:t>万元、财政专户管理资金收入</w:t>
      </w:r>
      <w:r>
        <w:rPr>
          <w:rFonts w:hint="eastAsia" w:ascii="仿宋" w:hAnsi="仿宋" w:eastAsia="仿宋" w:cs="仿宋_GB2312"/>
          <w:sz w:val="32"/>
          <w:szCs w:val="32"/>
          <w:lang w:val="en-US" w:eastAsia="zh-CN"/>
        </w:rPr>
        <w:t>0</w:t>
      </w:r>
      <w:r>
        <w:rPr>
          <w:rFonts w:hint="eastAsia" w:ascii="仿宋" w:hAnsi="仿宋" w:eastAsia="仿宋"/>
          <w:sz w:val="32"/>
          <w:szCs w:val="32"/>
        </w:rPr>
        <w:t>万元、事业收入</w:t>
      </w:r>
      <w:r>
        <w:rPr>
          <w:rFonts w:hint="eastAsia" w:ascii="仿宋" w:hAnsi="仿宋" w:eastAsia="仿宋" w:cs="仿宋_GB2312"/>
          <w:sz w:val="32"/>
          <w:szCs w:val="32"/>
          <w:lang w:val="en-US" w:eastAsia="zh-CN"/>
        </w:rPr>
        <w:t>0</w:t>
      </w:r>
      <w:r>
        <w:rPr>
          <w:rFonts w:hint="eastAsia" w:ascii="仿宋" w:hAnsi="仿宋" w:eastAsia="仿宋"/>
          <w:sz w:val="32"/>
          <w:szCs w:val="32"/>
        </w:rPr>
        <w:t>万元、事业单位经营收入</w:t>
      </w:r>
      <w:r>
        <w:rPr>
          <w:rFonts w:hint="eastAsia" w:ascii="仿宋" w:hAnsi="仿宋" w:eastAsia="仿宋" w:cs="仿宋_GB2312"/>
          <w:sz w:val="32"/>
          <w:szCs w:val="32"/>
          <w:lang w:val="en-US" w:eastAsia="zh-CN"/>
        </w:rPr>
        <w:t>0</w:t>
      </w:r>
      <w:r>
        <w:rPr>
          <w:rFonts w:hint="eastAsia" w:ascii="仿宋" w:hAnsi="仿宋" w:eastAsia="仿宋"/>
          <w:sz w:val="32"/>
          <w:szCs w:val="32"/>
        </w:rPr>
        <w:t>万元、上级补助收入</w:t>
      </w:r>
      <w:r>
        <w:rPr>
          <w:rFonts w:hint="eastAsia" w:ascii="仿宋" w:hAnsi="仿宋" w:eastAsia="仿宋" w:cs="仿宋_GB2312"/>
          <w:sz w:val="32"/>
          <w:szCs w:val="32"/>
          <w:lang w:val="en-US" w:eastAsia="zh-CN"/>
        </w:rPr>
        <w:t>0</w:t>
      </w:r>
      <w:r>
        <w:rPr>
          <w:rFonts w:hint="eastAsia" w:ascii="仿宋" w:hAnsi="仿宋" w:eastAsia="仿宋"/>
          <w:sz w:val="32"/>
          <w:szCs w:val="32"/>
        </w:rPr>
        <w:t>万元、附属单位上缴收入</w:t>
      </w:r>
      <w:r>
        <w:rPr>
          <w:rFonts w:hint="eastAsia" w:ascii="仿宋" w:hAnsi="仿宋" w:eastAsia="仿宋" w:cs="仿宋_GB2312"/>
          <w:sz w:val="32"/>
          <w:szCs w:val="32"/>
          <w:lang w:val="en-US" w:eastAsia="zh-CN"/>
        </w:rPr>
        <w:t>0</w:t>
      </w:r>
      <w:r>
        <w:rPr>
          <w:rFonts w:hint="eastAsia" w:ascii="仿宋" w:hAnsi="仿宋" w:eastAsia="仿宋"/>
          <w:sz w:val="32"/>
          <w:szCs w:val="32"/>
        </w:rPr>
        <w:t>元、其他收入</w:t>
      </w:r>
      <w:r>
        <w:rPr>
          <w:rFonts w:hint="eastAsia" w:ascii="仿宋" w:hAnsi="仿宋" w:eastAsia="仿宋" w:cs="仿宋_GB2312"/>
          <w:sz w:val="32"/>
          <w:szCs w:val="32"/>
          <w:lang w:val="en-US" w:eastAsia="zh-CN"/>
        </w:rPr>
        <w:t>0</w:t>
      </w:r>
      <w:r>
        <w:rPr>
          <w:rFonts w:hint="eastAsia" w:ascii="仿宋" w:hAnsi="仿宋" w:eastAsia="仿宋"/>
          <w:sz w:val="32"/>
          <w:szCs w:val="32"/>
        </w:rPr>
        <w:t>万元、上年结转结余</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rPr>
        <w:t>197.83</w:t>
      </w:r>
      <w:r>
        <w:rPr>
          <w:rFonts w:hint="eastAsia" w:ascii="仿宋" w:hAnsi="仿宋" w:eastAsia="仿宋"/>
          <w:sz w:val="32"/>
          <w:szCs w:val="32"/>
        </w:rPr>
        <w:t>万元，比上年增加</w:t>
      </w:r>
      <w:r>
        <w:rPr>
          <w:rFonts w:hint="eastAsia" w:ascii="仿宋" w:hAnsi="仿宋" w:eastAsia="仿宋"/>
          <w:sz w:val="32"/>
          <w:szCs w:val="32"/>
          <w:lang w:val="en-US" w:eastAsia="zh-CN"/>
        </w:rPr>
        <w:t>66.6</w:t>
      </w:r>
      <w:r>
        <w:rPr>
          <w:rFonts w:hint="eastAsia" w:ascii="仿宋" w:hAnsi="仿宋" w:eastAsia="仿宋"/>
          <w:sz w:val="32"/>
          <w:szCs w:val="32"/>
        </w:rPr>
        <w:t>万元，主要原因是</w:t>
      </w:r>
      <w:r>
        <w:rPr>
          <w:rFonts w:hint="eastAsia" w:ascii="仿宋" w:hAnsi="仿宋" w:eastAsia="仿宋" w:cs="仿宋_GB2312"/>
          <w:sz w:val="32"/>
          <w:szCs w:val="32"/>
          <w:lang w:eastAsia="zh-CN"/>
        </w:rPr>
        <w:t>机构改革人员变动人员经费增加</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rPr>
        <w:t>167.83</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30</w:t>
      </w:r>
      <w:r>
        <w:rPr>
          <w:rFonts w:hint="eastAsia" w:ascii="仿宋" w:hAnsi="仿宋" w:eastAsia="仿宋"/>
          <w:sz w:val="32"/>
          <w:szCs w:val="32"/>
        </w:rPr>
        <w:t>万元、事业单位经营支出</w:t>
      </w:r>
      <w:r>
        <w:rPr>
          <w:rFonts w:hint="eastAsia" w:ascii="仿宋" w:hAnsi="仿宋" w:eastAsia="仿宋" w:cs="仿宋_GB2312"/>
          <w:sz w:val="32"/>
          <w:szCs w:val="32"/>
          <w:lang w:val="en-US" w:eastAsia="zh-CN"/>
        </w:rPr>
        <w:t>0</w:t>
      </w:r>
      <w:r>
        <w:rPr>
          <w:rFonts w:hint="eastAsia" w:ascii="仿宋" w:hAnsi="仿宋" w:eastAsia="仿宋"/>
          <w:sz w:val="32"/>
          <w:szCs w:val="32"/>
        </w:rPr>
        <w:t>万元、上缴上级支出</w:t>
      </w:r>
      <w:r>
        <w:rPr>
          <w:rFonts w:hint="eastAsia" w:ascii="仿宋" w:hAnsi="仿宋" w:eastAsia="仿宋" w:cs="仿宋_GB2312"/>
          <w:sz w:val="32"/>
          <w:szCs w:val="32"/>
          <w:lang w:val="en-US" w:eastAsia="zh-CN"/>
        </w:rPr>
        <w:t>0</w:t>
      </w:r>
      <w:r>
        <w:rPr>
          <w:rFonts w:hint="eastAsia" w:ascii="仿宋" w:hAnsi="仿宋" w:eastAsia="仿宋"/>
          <w:sz w:val="32"/>
          <w:szCs w:val="32"/>
        </w:rPr>
        <w:t>万元、对附属单位补助支出</w:t>
      </w:r>
      <w:r>
        <w:rPr>
          <w:rFonts w:hint="eastAsia" w:ascii="仿宋" w:hAnsi="仿宋" w:eastAsia="仿宋" w:cs="仿宋_GB2312"/>
          <w:sz w:val="32"/>
          <w:szCs w:val="32"/>
          <w:lang w:val="en-US" w:eastAsia="zh-CN"/>
        </w:rPr>
        <w:t>0</w:t>
      </w:r>
      <w:r>
        <w:rPr>
          <w:rFonts w:hint="eastAsia" w:ascii="仿宋" w:hAnsi="仿宋" w:eastAsia="仿宋"/>
          <w:sz w:val="32"/>
          <w:szCs w:val="32"/>
        </w:rPr>
        <w:t>万元。</w:t>
      </w:r>
    </w:p>
    <w:p>
      <w:pPr>
        <w:tabs>
          <w:tab w:val="left" w:pos="7513"/>
        </w:tabs>
        <w:adjustRightInd w:val="0"/>
        <w:snapToGrid w:val="0"/>
        <w:spacing w:line="600" w:lineRule="exact"/>
        <w:outlineLvl w:val="1"/>
        <w:rPr>
          <w:rFonts w:ascii="黑体" w:hAnsi="黑体" w:eastAsia="黑体"/>
          <w:b w:val="0"/>
          <w:sz w:val="32"/>
          <w:szCs w:val="32"/>
        </w:rPr>
      </w:pPr>
      <w:bookmarkStart w:id="19" w:name="_Toc29811"/>
      <w:r>
        <w:rPr>
          <w:rFonts w:hint="eastAsia" w:ascii="黑体" w:hAnsi="黑体" w:eastAsia="黑体" w:cstheme="minorBidi"/>
          <w:b w:val="0"/>
          <w:kern w:val="2"/>
          <w:sz w:val="32"/>
          <w:szCs w:val="32"/>
          <w:lang w:eastAsia="zh-CN"/>
        </w:rPr>
        <w:t>二、一般公共预算拨款支出情况</w:t>
      </w:r>
      <w:bookmarkEnd w:id="19"/>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bCs/>
          <w:sz w:val="32"/>
          <w:szCs w:val="32"/>
          <w:lang w:eastAsia="zh-CN"/>
        </w:rPr>
        <w:t>2024年度</w:t>
      </w:r>
      <w:r>
        <w:rPr>
          <w:rFonts w:hint="eastAsia" w:ascii="仿宋" w:hAnsi="仿宋" w:eastAsia="仿宋" w:cs="仿宋_GB2312"/>
          <w:sz w:val="32"/>
          <w:szCs w:val="32"/>
        </w:rPr>
        <w:t>度一般公共预算拨款支出197.83</w:t>
      </w:r>
      <w:r>
        <w:rPr>
          <w:rFonts w:hint="eastAsia" w:ascii="仿宋" w:hAnsi="仿宋" w:eastAsia="仿宋"/>
          <w:sz w:val="32"/>
          <w:szCs w:val="32"/>
        </w:rPr>
        <w:t>万元，比上年增加</w:t>
      </w:r>
      <w:r>
        <w:rPr>
          <w:rFonts w:hint="eastAsia" w:ascii="仿宋" w:hAnsi="仿宋" w:eastAsia="仿宋"/>
          <w:sz w:val="32"/>
          <w:szCs w:val="32"/>
          <w:lang w:val="en-US" w:eastAsia="zh-CN"/>
        </w:rPr>
        <w:t>66.6</w:t>
      </w:r>
      <w:r>
        <w:rPr>
          <w:rFonts w:hint="eastAsia" w:ascii="仿宋" w:hAnsi="仿宋" w:eastAsia="仿宋"/>
          <w:sz w:val="32"/>
          <w:szCs w:val="32"/>
        </w:rPr>
        <w:t>万元</w:t>
      </w:r>
      <w:r>
        <w:rPr>
          <w:rFonts w:hint="eastAsia" w:ascii="仿宋" w:hAnsi="仿宋" w:eastAsia="仿宋" w:cs="仿宋_GB2312"/>
          <w:kern w:val="0"/>
          <w:sz w:val="32"/>
          <w:szCs w:val="32"/>
        </w:rPr>
        <w:t>，</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33.67</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eastAsia="zh-CN"/>
        </w:rPr>
        <w:t>机构改革人员变动人员经费增加</w:t>
      </w:r>
      <w:r>
        <w:rPr>
          <w:rFonts w:hint="eastAsia" w:ascii="仿宋" w:hAnsi="仿宋" w:eastAsia="仿宋" w:cs="仿宋_GB2312"/>
          <w:sz w:val="32"/>
          <w:szCs w:val="32"/>
        </w:rPr>
        <w:t>。按照党中央、国务院和省委、省政府关于过紧日子的有关要求，厉行节约办一切事业，大力压减一般性支出，重点压减了公用经费和培训等项目支出中涉及的非急需非刚性支出，同时合理保障了</w:t>
      </w:r>
      <w:r>
        <w:rPr>
          <w:rFonts w:hint="eastAsia" w:ascii="仿宋" w:hAnsi="仿宋" w:eastAsia="仿宋" w:cs="仿宋_GB2312"/>
          <w:sz w:val="32"/>
          <w:szCs w:val="32"/>
          <w:lang w:eastAsia="zh-CN"/>
        </w:rPr>
        <w:t>全区</w:t>
      </w:r>
      <w:r>
        <w:rPr>
          <w:rFonts w:hint="eastAsia" w:ascii="仿宋" w:hAnsi="仿宋" w:eastAsia="仿宋"/>
          <w:color w:val="000000"/>
          <w:sz w:val="32"/>
        </w:rPr>
        <w:t>招商引资</w:t>
      </w:r>
      <w:r>
        <w:rPr>
          <w:rFonts w:hint="eastAsia" w:ascii="仿宋" w:hAnsi="仿宋" w:eastAsia="仿宋" w:cs="仿宋_GB2312"/>
          <w:sz w:val="32"/>
          <w:szCs w:val="32"/>
        </w:rPr>
        <w:t>等工作的支出需求，体现在有关支出科目中。</w:t>
      </w:r>
      <w:r>
        <w:rPr>
          <w:rFonts w:hint="eastAsia" w:ascii="仿宋" w:hAnsi="仿宋" w:eastAsia="仿宋" w:cs="宋体"/>
          <w:bCs/>
          <w:sz w:val="32"/>
          <w:szCs w:val="32"/>
        </w:rPr>
        <w:t>其中（按项级科目分类统计）</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（一）2011350-事业运行</w:t>
      </w:r>
      <w:r>
        <w:rPr>
          <w:rFonts w:hint="eastAsia" w:ascii="仿宋" w:hAnsi="仿宋" w:eastAsia="仿宋" w:cs="仿宋_GB2312"/>
          <w:sz w:val="32"/>
          <w:szCs w:val="32"/>
          <w:lang w:val="en-US" w:eastAsia="zh-CN"/>
        </w:rPr>
        <w:t>197.83</w:t>
      </w:r>
      <w:r>
        <w:rPr>
          <w:rFonts w:hint="eastAsia" w:ascii="仿宋" w:hAnsi="仿宋" w:eastAsia="仿宋" w:cs="仿宋_GB2312"/>
          <w:sz w:val="32"/>
          <w:szCs w:val="32"/>
        </w:rPr>
        <w:t>万元。主要用于</w:t>
      </w:r>
      <w:r>
        <w:rPr>
          <w:rFonts w:hint="eastAsia" w:ascii="仿宋" w:hAnsi="仿宋" w:eastAsia="仿宋"/>
          <w:sz w:val="32"/>
        </w:rPr>
        <w:t>主要用于招商中心</w:t>
      </w:r>
      <w:r>
        <w:rPr>
          <w:rFonts w:ascii="仿宋" w:hAnsi="仿宋" w:eastAsia="仿宋"/>
          <w:color w:val="000000"/>
          <w:kern w:val="0"/>
          <w:sz w:val="31"/>
        </w:rPr>
        <w:t>人员工资福利以及日常工作事务经费</w:t>
      </w:r>
      <w:r>
        <w:rPr>
          <w:rFonts w:hint="eastAsia" w:ascii="仿宋" w:hAnsi="仿宋" w:eastAsia="仿宋"/>
          <w:sz w:val="32"/>
        </w:rPr>
        <w:t>支出</w:t>
      </w:r>
      <w:r>
        <w:rPr>
          <w:rFonts w:hint="eastAsia" w:ascii="仿宋" w:hAnsi="仿宋" w:eastAsia="仿宋" w:cs="仿宋_GB2312"/>
          <w:sz w:val="32"/>
          <w:szCs w:val="32"/>
        </w:rPr>
        <w:t>。</w:t>
      </w:r>
    </w:p>
    <w:p>
      <w:pPr>
        <w:tabs>
          <w:tab w:val="left" w:pos="7513"/>
        </w:tabs>
        <w:adjustRightInd w:val="0"/>
        <w:snapToGrid w:val="0"/>
        <w:spacing w:line="600" w:lineRule="exact"/>
        <w:outlineLvl w:val="1"/>
        <w:rPr>
          <w:rFonts w:ascii="黑体" w:hAnsi="黑体" w:eastAsia="黑体"/>
          <w:b w:val="0"/>
          <w:sz w:val="32"/>
          <w:szCs w:val="32"/>
        </w:rPr>
      </w:pPr>
      <w:bookmarkStart w:id="20" w:name="_Toc30342"/>
      <w:r>
        <w:rPr>
          <w:rFonts w:hint="eastAsia" w:ascii="黑体" w:hAnsi="黑体" w:eastAsia="黑体" w:cstheme="minorBidi"/>
          <w:b w:val="0"/>
          <w:kern w:val="2"/>
          <w:sz w:val="32"/>
          <w:szCs w:val="32"/>
          <w:lang w:eastAsia="zh-CN"/>
        </w:rPr>
        <w:t>三、政府性基金预算拨款支出情况</w:t>
      </w:r>
      <w:bookmarkEnd w:id="20"/>
    </w:p>
    <w:p>
      <w:pPr>
        <w:tabs>
          <w:tab w:val="left" w:pos="7513"/>
        </w:tabs>
        <w:adjustRightInd w:val="0"/>
        <w:snapToGrid w:val="0"/>
        <w:spacing w:line="600" w:lineRule="exact"/>
        <w:ind w:firstLine="620" w:firstLineChars="200"/>
        <w:rPr>
          <w:rFonts w:hint="eastAsia" w:ascii="仿宋" w:hAnsi="仿宋" w:eastAsia="仿宋"/>
          <w:color w:val="000000"/>
          <w:kern w:val="0"/>
          <w:sz w:val="31"/>
        </w:rPr>
      </w:pPr>
      <w:r>
        <w:rPr>
          <w:rFonts w:hint="eastAsia" w:ascii="仿宋" w:hAnsi="仿宋" w:eastAsia="仿宋"/>
          <w:color w:val="000000"/>
          <w:kern w:val="0"/>
          <w:sz w:val="31"/>
        </w:rPr>
        <w:t>本部门</w:t>
      </w:r>
      <w:r>
        <w:rPr>
          <w:rFonts w:hint="eastAsia" w:ascii="仿宋" w:hAnsi="仿宋" w:eastAsia="仿宋"/>
          <w:color w:val="000000"/>
          <w:kern w:val="0"/>
          <w:sz w:val="31"/>
          <w:lang w:eastAsia="zh-CN"/>
        </w:rPr>
        <w:t>2024年度</w:t>
      </w:r>
      <w:r>
        <w:rPr>
          <w:rFonts w:hint="eastAsia" w:ascii="仿宋" w:hAnsi="仿宋" w:eastAsia="仿宋"/>
          <w:color w:val="000000"/>
          <w:kern w:val="0"/>
          <w:sz w:val="31"/>
        </w:rPr>
        <w:t>度没有使用政府性基金预算拨款安排的支出。</w:t>
      </w:r>
    </w:p>
    <w:p>
      <w:pPr>
        <w:tabs>
          <w:tab w:val="left" w:pos="7513"/>
        </w:tabs>
        <w:adjustRightInd w:val="0"/>
        <w:snapToGrid w:val="0"/>
        <w:spacing w:line="600" w:lineRule="exact"/>
        <w:outlineLvl w:val="1"/>
        <w:rPr>
          <w:rFonts w:ascii="黑体" w:hAnsi="黑体" w:eastAsia="黑体" w:cs="仿宋_GB2312"/>
          <w:bCs/>
          <w:sz w:val="32"/>
          <w:szCs w:val="32"/>
        </w:rPr>
      </w:pPr>
      <w:bookmarkStart w:id="21" w:name="_Toc19561"/>
      <w:r>
        <w:rPr>
          <w:rFonts w:hint="eastAsia" w:ascii="黑体" w:hAnsi="黑体" w:eastAsia="黑体" w:cs="仿宋_GB2312"/>
          <w:bCs/>
          <w:sz w:val="32"/>
          <w:szCs w:val="32"/>
        </w:rPr>
        <w:t>四、国有资本经营预算拨款支出情况</w:t>
      </w:r>
      <w:bookmarkEnd w:id="21"/>
    </w:p>
    <w:p>
      <w:pPr>
        <w:tabs>
          <w:tab w:val="left" w:pos="7513"/>
        </w:tabs>
        <w:adjustRightInd w:val="0"/>
        <w:snapToGrid w:val="0"/>
        <w:spacing w:line="600" w:lineRule="exact"/>
        <w:ind w:firstLine="620" w:firstLineChars="200"/>
        <w:rPr>
          <w:rFonts w:hint="eastAsia" w:ascii="仿宋" w:hAnsi="仿宋" w:eastAsia="仿宋"/>
          <w:color w:val="000000"/>
          <w:kern w:val="0"/>
          <w:sz w:val="31"/>
        </w:rPr>
      </w:pPr>
      <w:r>
        <w:rPr>
          <w:rFonts w:hint="eastAsia" w:ascii="仿宋" w:hAnsi="仿宋" w:eastAsia="仿宋"/>
          <w:color w:val="000000"/>
          <w:kern w:val="0"/>
          <w:sz w:val="31"/>
        </w:rPr>
        <w:t>本部门</w:t>
      </w:r>
      <w:r>
        <w:rPr>
          <w:rFonts w:hint="eastAsia" w:ascii="仿宋" w:hAnsi="仿宋" w:eastAsia="仿宋"/>
          <w:color w:val="000000"/>
          <w:kern w:val="0"/>
          <w:sz w:val="31"/>
          <w:lang w:eastAsia="zh-CN"/>
        </w:rPr>
        <w:t>2024年度</w:t>
      </w:r>
      <w:r>
        <w:rPr>
          <w:rFonts w:hint="eastAsia" w:ascii="仿宋" w:hAnsi="仿宋" w:eastAsia="仿宋"/>
          <w:color w:val="000000"/>
          <w:kern w:val="0"/>
          <w:sz w:val="31"/>
        </w:rPr>
        <w:t>度没有使用国有资本经营预算拨款安排的支出。</w:t>
      </w:r>
    </w:p>
    <w:p>
      <w:pPr>
        <w:tabs>
          <w:tab w:val="left" w:pos="7513"/>
        </w:tabs>
        <w:adjustRightInd w:val="0"/>
        <w:snapToGrid w:val="0"/>
        <w:spacing w:line="600" w:lineRule="exact"/>
        <w:outlineLvl w:val="1"/>
        <w:rPr>
          <w:rFonts w:ascii="黑体" w:hAnsi="黑体" w:eastAsia="黑体"/>
          <w:b w:val="0"/>
          <w:sz w:val="32"/>
          <w:szCs w:val="32"/>
        </w:rPr>
      </w:pPr>
      <w:bookmarkStart w:id="22" w:name="_Toc11865"/>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bookmarkEnd w:id="22"/>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eastAsia="zh-CN"/>
        </w:rPr>
        <w:t>2024年度</w:t>
      </w:r>
      <w:r>
        <w:rPr>
          <w:rFonts w:hint="eastAsia" w:ascii="仿宋" w:hAnsi="仿宋" w:eastAsia="仿宋" w:cs="仿宋_GB2312"/>
          <w:sz w:val="32"/>
          <w:szCs w:val="32"/>
        </w:rPr>
        <w:t>度一般公共预算拨款基本支出</w:t>
      </w:r>
      <w:r>
        <w:rPr>
          <w:rFonts w:hint="eastAsia" w:ascii="仿宋" w:hAnsi="仿宋" w:eastAsia="仿宋" w:cs="仿宋_GB2312"/>
          <w:sz w:val="32"/>
          <w:szCs w:val="32"/>
          <w:lang w:val="en-US" w:eastAsia="zh-CN"/>
        </w:rPr>
        <w:t>167.83</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153.63</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14.2</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outlineLvl w:val="1"/>
        <w:rPr>
          <w:rFonts w:ascii="黑体" w:hAnsi="黑体" w:eastAsia="黑体"/>
          <w:b w:val="0"/>
          <w:sz w:val="32"/>
          <w:szCs w:val="32"/>
        </w:rPr>
      </w:pPr>
      <w:bookmarkStart w:id="23" w:name="_Toc13807"/>
      <w:r>
        <w:rPr>
          <w:rFonts w:hint="eastAsia" w:ascii="黑体" w:hAnsi="黑体" w:eastAsia="黑体" w:cstheme="minorBidi"/>
          <w:b w:val="0"/>
          <w:kern w:val="2"/>
          <w:sz w:val="32"/>
          <w:szCs w:val="32"/>
          <w:lang w:eastAsia="zh-CN"/>
        </w:rPr>
        <w:t>六、一般公共预算“三公”经费支出情况</w:t>
      </w:r>
      <w:bookmarkEnd w:id="23"/>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楷体" w:hAnsi="楷体" w:eastAsia="楷体" w:cs="仿宋_GB2312"/>
          <w:sz w:val="32"/>
          <w:szCs w:val="32"/>
        </w:rPr>
      </w:pPr>
      <w:r>
        <w:rPr>
          <w:rFonts w:hint="eastAsia" w:ascii="仿宋" w:hAnsi="仿宋" w:eastAsia="仿宋" w:cs="仿宋_GB2312"/>
          <w:kern w:val="0"/>
          <w:sz w:val="32"/>
          <w:szCs w:val="32"/>
          <w:lang w:eastAsia="zh-CN"/>
        </w:rPr>
        <w:t>2024年度</w:t>
      </w:r>
      <w:r>
        <w:rPr>
          <w:rFonts w:hint="eastAsia" w:ascii="仿宋" w:hAnsi="仿宋" w:eastAsia="仿宋"/>
          <w:kern w:val="0"/>
          <w:sz w:val="32"/>
        </w:rPr>
        <w:t>预算安排0万元。与上年持平</w:t>
      </w:r>
      <w:r>
        <w:rPr>
          <w:rFonts w:hint="eastAsia" w:ascii="仿宋" w:hAnsi="仿宋" w:eastAsia="仿宋"/>
          <w:sz w:val="32"/>
        </w:rPr>
        <w:t>，主要原因是</w:t>
      </w:r>
      <w:r>
        <w:rPr>
          <w:rFonts w:ascii="仿宋" w:hAnsi="仿宋" w:eastAsia="仿宋"/>
          <w:sz w:val="32"/>
        </w:rPr>
        <w:t>:</w:t>
      </w:r>
      <w:r>
        <w:rPr>
          <w:rFonts w:hint="eastAsia" w:ascii="仿宋" w:hAnsi="仿宋" w:eastAsia="仿宋"/>
          <w:sz w:val="32"/>
        </w:rPr>
        <w:t>本年度无因公出国（境）计划。</w:t>
      </w:r>
    </w:p>
    <w:p>
      <w:pPr>
        <w:widowControl/>
        <w:adjustRightInd w:val="0"/>
        <w:snapToGrid w:val="0"/>
        <w:spacing w:line="600" w:lineRule="exact"/>
        <w:ind w:firstLine="660"/>
        <w:rPr>
          <w:rFonts w:ascii="楷体" w:hAnsi="楷体" w:eastAsia="楷体" w:cs="仿宋_GB2312"/>
          <w:sz w:val="32"/>
          <w:szCs w:val="32"/>
        </w:rPr>
      </w:pP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2.5</w:t>
      </w:r>
      <w:r>
        <w:rPr>
          <w:rFonts w:hint="eastAsia" w:ascii="仿宋" w:hAnsi="仿宋" w:eastAsia="仿宋" w:cs="宋体"/>
          <w:kern w:val="0"/>
          <w:sz w:val="32"/>
          <w:szCs w:val="32"/>
        </w:rPr>
        <w:t>万元，</w:t>
      </w:r>
      <w:r>
        <w:rPr>
          <w:rFonts w:hint="eastAsia" w:ascii="仿宋" w:hAnsi="仿宋" w:eastAsia="仿宋" w:cs="仿宋_GB2312"/>
          <w:sz w:val="32"/>
          <w:szCs w:val="32"/>
        </w:rPr>
        <w:t>比上年增加</w:t>
      </w:r>
      <w:r>
        <w:rPr>
          <w:rFonts w:hint="eastAsia" w:ascii="仿宋" w:hAnsi="仿宋" w:eastAsia="仿宋" w:cs="仿宋_GB2312"/>
          <w:sz w:val="32"/>
          <w:szCs w:val="32"/>
          <w:lang w:eastAsia="zh-CN"/>
        </w:rPr>
        <w:t>（减少）</w:t>
      </w:r>
      <w:r>
        <w:rPr>
          <w:rFonts w:hint="eastAsia" w:ascii="仿宋" w:hAnsi="仿宋" w:eastAsia="仿宋" w:cs="仿宋_GB2312"/>
          <w:sz w:val="32"/>
          <w:szCs w:val="32"/>
          <w:lang w:val="en-US" w:eastAsia="zh-CN"/>
        </w:rPr>
        <w:t>0</w:t>
      </w:r>
      <w:r>
        <w:rPr>
          <w:rFonts w:hint="eastAsia" w:ascii="仿宋" w:hAnsi="仿宋" w:eastAsia="仿宋" w:cs="仿宋_GB2312"/>
          <w:kern w:val="0"/>
          <w:sz w:val="32"/>
          <w:szCs w:val="32"/>
        </w:rPr>
        <w:t>万元，</w:t>
      </w:r>
      <w:r>
        <w:rPr>
          <w:rFonts w:hint="eastAsia" w:ascii="仿宋" w:hAnsi="仿宋" w:eastAsia="仿宋" w:cs="仿宋_GB2312"/>
          <w:kern w:val="0"/>
          <w:sz w:val="32"/>
          <w:szCs w:val="32"/>
          <w:lang w:eastAsia="zh-CN"/>
        </w:rPr>
        <w:t>与上年持平。</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lang w:val="en-US" w:eastAsia="zh-CN"/>
        </w:rPr>
        <w:t>2023</w:t>
      </w:r>
      <w:r>
        <w:rPr>
          <w:rFonts w:hint="eastAsia" w:ascii="仿宋" w:hAnsi="仿宋" w:eastAsia="仿宋" w:cs="宋体"/>
          <w:kern w:val="0"/>
          <w:sz w:val="32"/>
          <w:szCs w:val="32"/>
        </w:rPr>
        <w:t>年</w:t>
      </w:r>
      <w:r>
        <w:rPr>
          <w:rFonts w:hint="eastAsia" w:ascii="仿宋" w:hAnsi="仿宋" w:eastAsia="仿宋"/>
          <w:kern w:val="0"/>
          <w:sz w:val="32"/>
        </w:rPr>
        <w:t>预算安排0万元，其中：公车运行费0万元，公车购置费0万元。与上年持平</w:t>
      </w:r>
      <w:r>
        <w:rPr>
          <w:rFonts w:hint="eastAsia" w:ascii="仿宋" w:hAnsi="仿宋" w:eastAsia="仿宋"/>
          <w:sz w:val="32"/>
        </w:rPr>
        <w:t>，主要原因是</w:t>
      </w:r>
      <w:r>
        <w:rPr>
          <w:rFonts w:ascii="仿宋" w:hAnsi="仿宋" w:eastAsia="仿宋"/>
          <w:sz w:val="32"/>
        </w:rPr>
        <w:t>:</w:t>
      </w:r>
      <w:r>
        <w:rPr>
          <w:rFonts w:hint="eastAsia" w:ascii="仿宋" w:hAnsi="仿宋" w:eastAsia="仿宋"/>
          <w:sz w:val="32"/>
        </w:rPr>
        <w:t>本单位无公务车辆及购置计划。</w:t>
      </w:r>
    </w:p>
    <w:p>
      <w:pPr>
        <w:spacing w:line="600" w:lineRule="exact"/>
        <w:outlineLvl w:val="1"/>
        <w:rPr>
          <w:rFonts w:ascii="黑体" w:hAnsi="黑体" w:eastAsia="黑体"/>
          <w:b w:val="0"/>
          <w:sz w:val="32"/>
          <w:szCs w:val="32"/>
        </w:rPr>
      </w:pPr>
      <w:bookmarkStart w:id="24" w:name="_Toc20073"/>
      <w:r>
        <w:rPr>
          <w:rFonts w:hint="eastAsia" w:ascii="黑体" w:hAnsi="黑体" w:eastAsia="黑体" w:cstheme="minorBidi"/>
          <w:b w:val="0"/>
          <w:kern w:val="2"/>
          <w:sz w:val="32"/>
          <w:szCs w:val="32"/>
          <w:lang w:eastAsia="zh-CN"/>
        </w:rPr>
        <w:t>七、预算绩效目标情况</w:t>
      </w:r>
      <w:bookmarkEnd w:id="24"/>
    </w:p>
    <w:p>
      <w:pPr>
        <w:spacing w:line="59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eastAsia="zh-CN"/>
        </w:rPr>
        <w:t>2024年度</w:t>
      </w:r>
      <w:r>
        <w:rPr>
          <w:rFonts w:hint="eastAsia" w:ascii="仿宋" w:hAnsi="仿宋" w:eastAsia="仿宋" w:cs="仿宋_GB2312"/>
          <w:kern w:val="0"/>
          <w:sz w:val="32"/>
          <w:szCs w:val="32"/>
        </w:rPr>
        <w:t>，</w:t>
      </w:r>
      <w:r>
        <w:rPr>
          <w:rFonts w:hint="eastAsia" w:ascii="仿宋" w:hAnsi="仿宋" w:eastAsia="仿宋"/>
          <w:sz w:val="32"/>
        </w:rPr>
        <w:t>鼓楼区招商服务中心</w:t>
      </w:r>
      <w:r>
        <w:rPr>
          <w:rFonts w:hint="eastAsia" w:ascii="仿宋" w:hAnsi="仿宋" w:eastAsia="仿宋" w:cs="仿宋_GB2312"/>
          <w:kern w:val="0"/>
          <w:sz w:val="32"/>
          <w:szCs w:val="32"/>
        </w:rPr>
        <w:t>共设置</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个项目绩效目标，共涉及财政拨款资金</w:t>
      </w:r>
      <w:r>
        <w:rPr>
          <w:rFonts w:hint="eastAsia" w:ascii="仿宋" w:hAnsi="仿宋" w:eastAsia="仿宋" w:cs="仿宋_GB2312"/>
          <w:kern w:val="0"/>
          <w:sz w:val="32"/>
          <w:szCs w:val="32"/>
          <w:lang w:val="en-US" w:eastAsia="zh-CN"/>
        </w:rPr>
        <w:t>30</w:t>
      </w:r>
      <w:r>
        <w:rPr>
          <w:rFonts w:hint="eastAsia" w:ascii="仿宋" w:hAnsi="仿宋" w:eastAsia="仿宋" w:cs="仿宋_GB2312"/>
          <w:kern w:val="0"/>
          <w:sz w:val="32"/>
          <w:szCs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3" w:firstLineChars="200"/>
        <w:rPr>
          <w:rFonts w:ascii="仿宋" w:hAnsi="仿宋" w:eastAsia="仿宋"/>
          <w:b/>
          <w:sz w:val="32"/>
          <w:szCs w:val="32"/>
        </w:rPr>
      </w:pPr>
      <w:r>
        <w:rPr>
          <w:rFonts w:ascii="仿宋" w:hAnsi="仿宋" w:eastAsia="仿宋"/>
          <w:b/>
          <w:sz w:val="32"/>
          <w:szCs w:val="32"/>
        </w:rPr>
        <w:t>1.项目支出绩效目标表</w:t>
      </w:r>
    </w:p>
    <w:p>
      <w:pPr>
        <w:spacing w:line="590" w:lineRule="exact"/>
        <w:ind w:firstLine="643" w:firstLineChars="200"/>
        <w:rPr>
          <w:rFonts w:ascii="仿宋" w:hAnsi="仿宋" w:eastAsia="仿宋"/>
          <w:b/>
          <w:sz w:val="32"/>
          <w:szCs w:val="32"/>
        </w:rPr>
      </w:pPr>
    </w:p>
    <w:p>
      <w:pPr>
        <w:spacing w:line="590" w:lineRule="exact"/>
        <w:ind w:firstLine="643" w:firstLineChars="200"/>
        <w:rPr>
          <w:rFonts w:ascii="仿宋" w:hAnsi="仿宋" w:eastAsia="仿宋"/>
          <w:b/>
          <w:sz w:val="32"/>
          <w:szCs w:val="32"/>
        </w:rPr>
      </w:pPr>
    </w:p>
    <w:p>
      <w:pPr>
        <w:spacing w:line="590" w:lineRule="exact"/>
        <w:ind w:firstLine="643" w:firstLineChars="200"/>
        <w:rPr>
          <w:rFonts w:ascii="仿宋" w:hAnsi="仿宋" w:eastAsia="仿宋"/>
          <w:b/>
          <w:sz w:val="32"/>
          <w:szCs w:val="32"/>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60"/>
        <w:gridCol w:w="1161"/>
        <w:gridCol w:w="1161"/>
        <w:gridCol w:w="2950"/>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5000" w:type="pct"/>
            <w:gridSpan w:val="5"/>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招商专项经费绩效目标表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1"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项目资金（万元）</w:t>
            </w: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资金总额： </w:t>
            </w:r>
          </w:p>
        </w:tc>
        <w:tc>
          <w:tcPr>
            <w:tcW w:w="29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财政拨款：</w:t>
            </w:r>
          </w:p>
        </w:tc>
        <w:tc>
          <w:tcPr>
            <w:tcW w:w="29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其中：当年财政拨款：</w:t>
            </w:r>
          </w:p>
        </w:tc>
        <w:tc>
          <w:tcPr>
            <w:tcW w:w="29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上年结转结余财政拨款：</w:t>
            </w:r>
          </w:p>
        </w:tc>
        <w:tc>
          <w:tcPr>
            <w:tcW w:w="29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29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431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完成省、市、区下达的各项招商任务，确保招商引资工作成效在全市排名前列。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绩效目标指标</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7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经济成本指标</w:t>
            </w:r>
          </w:p>
        </w:tc>
        <w:tc>
          <w:tcPr>
            <w:tcW w:w="17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招商落地项目转化率</w:t>
            </w:r>
          </w:p>
        </w:tc>
        <w:tc>
          <w:tcPr>
            <w:tcW w:w="1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7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引进落地项目数</w:t>
            </w:r>
          </w:p>
        </w:tc>
        <w:tc>
          <w:tcPr>
            <w:tcW w:w="1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7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引进落地项目金额</w:t>
            </w:r>
          </w:p>
        </w:tc>
        <w:tc>
          <w:tcPr>
            <w:tcW w:w="1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7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支付（结算）及时性</w:t>
            </w:r>
          </w:p>
        </w:tc>
        <w:tc>
          <w:tcPr>
            <w:tcW w:w="1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7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签约项目数</w:t>
            </w:r>
          </w:p>
        </w:tc>
        <w:tc>
          <w:tcPr>
            <w:tcW w:w="1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73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服务企业满意度</w:t>
            </w:r>
          </w:p>
        </w:tc>
        <w:tc>
          <w:tcPr>
            <w:tcW w:w="1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bl>
    <w:p>
      <w:pPr>
        <w:spacing w:line="590" w:lineRule="exact"/>
        <w:ind w:firstLine="643" w:firstLineChars="200"/>
        <w:rPr>
          <w:rFonts w:ascii="仿宋" w:hAnsi="仿宋" w:eastAsia="仿宋"/>
          <w:b/>
          <w:sz w:val="32"/>
          <w:szCs w:val="32"/>
        </w:rPr>
      </w:pPr>
      <w:r>
        <w:rPr>
          <w:rFonts w:ascii="仿宋" w:hAnsi="仿宋" w:eastAsia="仿宋"/>
          <w:b/>
          <w:sz w:val="32"/>
          <w:szCs w:val="32"/>
        </w:rPr>
        <w:t>2.有关情况说明</w:t>
      </w:r>
    </w:p>
    <w:p>
      <w:pPr>
        <w:spacing w:line="590" w:lineRule="exact"/>
        <w:ind w:firstLine="640" w:firstLineChars="200"/>
        <w:rPr>
          <w:rFonts w:ascii="楷体" w:hAnsi="楷体" w:eastAsia="楷体" w:cs="楷体"/>
          <w:kern w:val="0"/>
          <w:sz w:val="32"/>
          <w:szCs w:val="32"/>
        </w:rPr>
      </w:pPr>
      <w:r>
        <w:rPr>
          <w:rFonts w:hint="eastAsia" w:ascii="仿宋" w:hAnsi="仿宋" w:eastAsia="仿宋" w:cs="仿宋_GB2312"/>
          <w:kern w:val="0"/>
          <w:sz w:val="32"/>
          <w:szCs w:val="32"/>
          <w:lang w:eastAsia="zh-CN"/>
        </w:rPr>
        <w:t>本部门无其他需要说明的绩效目标情况。</w:t>
      </w:r>
    </w:p>
    <w:p>
      <w:pPr>
        <w:spacing w:line="600" w:lineRule="exact"/>
        <w:outlineLvl w:val="1"/>
        <w:rPr>
          <w:rFonts w:ascii="黑体" w:hAnsi="黑体" w:eastAsia="黑体"/>
          <w:b w:val="0"/>
          <w:sz w:val="32"/>
          <w:szCs w:val="32"/>
        </w:rPr>
      </w:pPr>
      <w:bookmarkStart w:id="25" w:name="_Toc4345"/>
      <w:r>
        <w:rPr>
          <w:rFonts w:hint="eastAsia" w:ascii="黑体" w:hAnsi="黑体" w:eastAsia="黑体"/>
          <w:b w:val="0"/>
          <w:sz w:val="32"/>
          <w:szCs w:val="32"/>
        </w:rPr>
        <w:t>八、其他重要事项说明</w:t>
      </w:r>
      <w:bookmarkEnd w:id="25"/>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楷体" w:hAnsi="楷体" w:eastAsia="楷体"/>
          <w:color w:val="auto"/>
          <w:sz w:val="32"/>
          <w:szCs w:val="32"/>
        </w:rPr>
      </w:pPr>
      <w:r>
        <w:rPr>
          <w:rFonts w:hint="eastAsia" w:ascii="仿宋" w:hAnsi="仿宋" w:eastAsia="仿宋"/>
          <w:kern w:val="0"/>
          <w:sz w:val="32"/>
        </w:rPr>
        <w:t>本单位为事业单位，无机关运行经费。</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lang w:eastAsia="zh-CN"/>
        </w:rPr>
        <w:t>2024年度</w:t>
      </w:r>
      <w:r>
        <w:rPr>
          <w:rFonts w:hint="eastAsia" w:ascii="仿宋" w:hAnsi="仿宋" w:eastAsia="仿宋"/>
          <w:kern w:val="0"/>
          <w:sz w:val="32"/>
          <w:szCs w:val="32"/>
        </w:rPr>
        <w:t>，</w:t>
      </w:r>
      <w:r>
        <w:rPr>
          <w:rFonts w:hint="eastAsia" w:ascii="仿宋" w:hAnsi="仿宋" w:eastAsia="仿宋" w:cs="仿宋_GB2312"/>
          <w:sz w:val="32"/>
          <w:szCs w:val="32"/>
          <w:lang w:eastAsia="zh-CN"/>
        </w:rPr>
        <w:t>鼓楼区招商服务中心</w:t>
      </w:r>
      <w:r>
        <w:rPr>
          <w:rFonts w:hint="eastAsia" w:ascii="仿宋" w:hAnsi="仿宋" w:eastAsia="仿宋"/>
          <w:kern w:val="0"/>
          <w:sz w:val="32"/>
          <w:szCs w:val="32"/>
        </w:rPr>
        <w:t>政府采购预算总额</w:t>
      </w:r>
      <w:r>
        <w:rPr>
          <w:rFonts w:hint="eastAsia" w:ascii="仿宋" w:hAnsi="仿宋" w:eastAsia="仿宋"/>
          <w:kern w:val="0"/>
          <w:sz w:val="32"/>
          <w:szCs w:val="32"/>
          <w:lang w:val="en-US" w:eastAsia="zh-CN"/>
        </w:rPr>
        <w:t>1.25</w:t>
      </w:r>
      <w:r>
        <w:rPr>
          <w:rFonts w:hint="eastAsia" w:ascii="仿宋" w:hAnsi="仿宋" w:eastAsia="仿宋"/>
          <w:kern w:val="0"/>
          <w:sz w:val="32"/>
          <w:szCs w:val="32"/>
        </w:rPr>
        <w:t>万元，其中：政府采购货物预算</w:t>
      </w:r>
      <w:r>
        <w:rPr>
          <w:rFonts w:hint="eastAsia" w:ascii="仿宋" w:hAnsi="仿宋" w:eastAsia="仿宋"/>
          <w:kern w:val="0"/>
          <w:sz w:val="32"/>
          <w:szCs w:val="32"/>
          <w:lang w:val="en-US" w:eastAsia="zh-CN"/>
        </w:rPr>
        <w:t>1.25</w:t>
      </w:r>
      <w:r>
        <w:rPr>
          <w:rFonts w:hint="eastAsia" w:ascii="仿宋" w:hAnsi="仿宋" w:eastAsia="仿宋"/>
          <w:kern w:val="0"/>
          <w:sz w:val="32"/>
          <w:szCs w:val="32"/>
        </w:rPr>
        <w:t>万元、政府采购工程预算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万元、政府采购服务预算</w:t>
      </w:r>
      <w:r>
        <w:rPr>
          <w:rFonts w:hint="eastAsia" w:ascii="仿宋" w:hAnsi="仿宋" w:eastAsia="仿宋"/>
          <w:kern w:val="0"/>
          <w:sz w:val="32"/>
          <w:szCs w:val="32"/>
          <w:lang w:val="en-US" w:eastAsia="zh-CN"/>
        </w:rPr>
        <w:t>0</w:t>
      </w:r>
      <w:r>
        <w:rPr>
          <w:rFonts w:hint="eastAsia" w:ascii="仿宋" w:hAnsi="仿宋" w:eastAsia="仿宋"/>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年12月31日，</w:t>
      </w:r>
      <w:r>
        <w:rPr>
          <w:rFonts w:hint="eastAsia" w:ascii="仿宋" w:hAnsi="仿宋" w:eastAsia="仿宋"/>
          <w:kern w:val="0"/>
          <w:sz w:val="32"/>
        </w:rPr>
        <w:t>鼓楼区招商服务中心</w:t>
      </w:r>
      <w:r>
        <w:rPr>
          <w:rFonts w:hint="eastAsia" w:ascii="仿宋" w:hAnsi="仿宋" w:eastAsia="仿宋"/>
          <w:sz w:val="32"/>
        </w:rPr>
        <w:t>本级及所属的预算单位共有车辆</w:t>
      </w:r>
      <w:r>
        <w:rPr>
          <w:rFonts w:hint="eastAsia" w:ascii="仿宋" w:hAnsi="仿宋" w:eastAsia="仿宋"/>
          <w:kern w:val="0"/>
          <w:sz w:val="32"/>
        </w:rPr>
        <w:t>0</w:t>
      </w:r>
      <w:r>
        <w:rPr>
          <w:rFonts w:hint="eastAsia" w:ascii="仿宋" w:hAnsi="仿宋" w:eastAsia="仿宋"/>
          <w:sz w:val="32"/>
        </w:rPr>
        <w:t>辆，其中：省部级领导干部用车</w:t>
      </w:r>
      <w:r>
        <w:rPr>
          <w:rFonts w:hint="eastAsia" w:ascii="仿宋" w:hAnsi="仿宋" w:eastAsia="仿宋"/>
          <w:kern w:val="0"/>
          <w:sz w:val="32"/>
        </w:rPr>
        <w:t>0</w:t>
      </w:r>
      <w:r>
        <w:rPr>
          <w:rFonts w:hint="eastAsia" w:ascii="仿宋" w:hAnsi="仿宋" w:eastAsia="仿宋"/>
          <w:sz w:val="32"/>
        </w:rPr>
        <w:t>辆，一般公务用车</w:t>
      </w:r>
      <w:r>
        <w:rPr>
          <w:rFonts w:hint="eastAsia" w:ascii="仿宋" w:hAnsi="仿宋" w:eastAsia="仿宋"/>
          <w:kern w:val="0"/>
          <w:sz w:val="32"/>
        </w:rPr>
        <w:t>0</w:t>
      </w:r>
      <w:r>
        <w:rPr>
          <w:rFonts w:hint="eastAsia" w:ascii="仿宋" w:hAnsi="仿宋" w:eastAsia="仿宋"/>
          <w:sz w:val="32"/>
        </w:rPr>
        <w:t>辆，一般执法执勤用车</w:t>
      </w:r>
      <w:r>
        <w:rPr>
          <w:rFonts w:hint="eastAsia" w:ascii="仿宋" w:hAnsi="仿宋" w:eastAsia="仿宋"/>
          <w:kern w:val="0"/>
          <w:sz w:val="32"/>
        </w:rPr>
        <w:t>0</w:t>
      </w:r>
      <w:r>
        <w:rPr>
          <w:rFonts w:hint="eastAsia" w:ascii="仿宋" w:hAnsi="仿宋" w:eastAsia="仿宋"/>
          <w:sz w:val="32"/>
        </w:rPr>
        <w:t>辆，特种专业技术用车</w:t>
      </w:r>
      <w:r>
        <w:rPr>
          <w:rFonts w:hint="eastAsia" w:ascii="仿宋" w:hAnsi="仿宋" w:eastAsia="仿宋"/>
          <w:kern w:val="0"/>
          <w:sz w:val="32"/>
        </w:rPr>
        <w:t>0</w:t>
      </w:r>
      <w:r>
        <w:rPr>
          <w:rFonts w:hint="eastAsia" w:ascii="仿宋" w:hAnsi="仿宋" w:eastAsia="仿宋"/>
          <w:sz w:val="32"/>
        </w:rPr>
        <w:t>辆，其他用车</w:t>
      </w:r>
      <w:r>
        <w:rPr>
          <w:rFonts w:hint="eastAsia" w:ascii="仿宋" w:hAnsi="仿宋" w:eastAsia="仿宋"/>
          <w:kern w:val="0"/>
          <w:sz w:val="32"/>
        </w:rPr>
        <w:t>0</w:t>
      </w:r>
      <w:r>
        <w:rPr>
          <w:rFonts w:hint="eastAsia" w:ascii="仿宋" w:hAnsi="仿宋" w:eastAsia="仿宋"/>
          <w:sz w:val="32"/>
        </w:rPr>
        <w:t>辆。单位价值</w:t>
      </w:r>
      <w:r>
        <w:rPr>
          <w:rFonts w:ascii="仿宋" w:hAnsi="仿宋" w:eastAsia="仿宋"/>
          <w:sz w:val="32"/>
        </w:rPr>
        <w:t>50</w:t>
      </w:r>
      <w:r>
        <w:rPr>
          <w:rFonts w:hint="eastAsia" w:ascii="仿宋" w:hAnsi="仿宋" w:eastAsia="仿宋"/>
          <w:sz w:val="32"/>
        </w:rPr>
        <w:t>万元以上通用设备</w:t>
      </w:r>
      <w:r>
        <w:rPr>
          <w:rFonts w:hint="eastAsia" w:ascii="仿宋" w:hAnsi="仿宋" w:eastAsia="仿宋"/>
          <w:kern w:val="0"/>
          <w:sz w:val="32"/>
        </w:rPr>
        <w:t>0台（套），</w:t>
      </w:r>
      <w:r>
        <w:rPr>
          <w:rFonts w:hint="eastAsia" w:ascii="仿宋" w:hAnsi="仿宋" w:eastAsia="仿宋"/>
          <w:sz w:val="32"/>
        </w:rPr>
        <w:t>单位价值</w:t>
      </w:r>
      <w:r>
        <w:rPr>
          <w:rFonts w:ascii="仿宋" w:hAnsi="仿宋" w:eastAsia="仿宋"/>
          <w:sz w:val="32"/>
        </w:rPr>
        <w:t>100</w:t>
      </w:r>
      <w:r>
        <w:rPr>
          <w:rFonts w:hint="eastAsia" w:ascii="仿宋" w:hAnsi="仿宋" w:eastAsia="仿宋"/>
          <w:sz w:val="32"/>
        </w:rPr>
        <w:t>万元以上专用设备</w:t>
      </w:r>
      <w:r>
        <w:rPr>
          <w:rFonts w:hint="eastAsia" w:ascii="仿宋" w:hAnsi="仿宋" w:eastAsia="仿宋"/>
          <w:kern w:val="0"/>
          <w:sz w:val="32"/>
        </w:rPr>
        <w:t>0台（套）。</w:t>
      </w: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outlineLvl w:val="0"/>
        <w:rPr>
          <w:rFonts w:ascii="黑体" w:hAnsi="黑体" w:eastAsia="黑体"/>
          <w:b w:val="0"/>
          <w:sz w:val="56"/>
        </w:rPr>
      </w:pPr>
      <w:bookmarkStart w:id="26" w:name="_Toc6201"/>
      <w:r>
        <w:rPr>
          <w:rFonts w:hint="eastAsia" w:ascii="黑体" w:hAnsi="黑体" w:eastAsia="黑体"/>
          <w:b w:val="0"/>
          <w:sz w:val="56"/>
        </w:rPr>
        <w:t>第四部分</w:t>
      </w:r>
      <w:r>
        <w:rPr>
          <w:rFonts w:ascii="黑体" w:hAnsi="黑体" w:eastAsia="黑体"/>
          <w:b w:val="0"/>
          <w:sz w:val="56"/>
        </w:rPr>
        <w:t xml:space="preserve"> </w:t>
      </w:r>
      <w:r>
        <w:rPr>
          <w:rFonts w:hint="eastAsia" w:ascii="黑体" w:hAnsi="黑体" w:eastAsia="黑体"/>
          <w:b w:val="0"/>
          <w:sz w:val="56"/>
        </w:rPr>
        <w:t>名词解释</w:t>
      </w:r>
      <w:bookmarkEnd w:id="26"/>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5"/>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5"/>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5"/>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5"/>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5"/>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5"/>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6"/>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xZTg1YjVmOGM0YmRkODgwZGI2MTc2N2ZmMDQxZjg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A1A48FE"/>
    <w:rsid w:val="12D27221"/>
    <w:rsid w:val="153C7384"/>
    <w:rsid w:val="1D5F4FAA"/>
    <w:rsid w:val="2B202245"/>
    <w:rsid w:val="4D424BF3"/>
    <w:rsid w:val="53684FB5"/>
    <w:rsid w:val="5BCD1176"/>
    <w:rsid w:val="5DBC44E8"/>
    <w:rsid w:val="658C4425"/>
    <w:rsid w:val="6D416DB7"/>
    <w:rsid w:val="75AA2BF6"/>
    <w:rsid w:val="767B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rPr>
      <w:rFonts w:ascii="Times New Roman" w:hAnsi="Times New Roman" w:eastAsia="宋体" w:cs="Times New Roman"/>
    </w:rPr>
  </w:style>
  <w:style w:type="paragraph" w:styleId="3">
    <w:name w:val="annotation text"/>
    <w:basedOn w:val="1"/>
    <w:autoRedefine/>
    <w:semiHidden/>
    <w:unhideWhenUsed/>
    <w:qFormat/>
    <w:uiPriority w:val="99"/>
    <w:pPr>
      <w:jc w:val="left"/>
    </w:pPr>
  </w:style>
  <w:style w:type="paragraph" w:styleId="4">
    <w:name w:val="Body Text"/>
    <w:basedOn w:val="1"/>
    <w:link w:val="13"/>
    <w:autoRedefine/>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5">
    <w:name w:val="Balloon Text"/>
    <w:basedOn w:val="1"/>
    <w:link w:val="14"/>
    <w:autoRedefine/>
    <w:unhideWhenUsed/>
    <w:qFormat/>
    <w:uiPriority w:val="99"/>
    <w:pPr>
      <w:spacing w:line="240" w:lineRule="auto"/>
    </w:pPr>
    <w:rPr>
      <w:sz w:val="18"/>
      <w:szCs w:val="18"/>
    </w:rPr>
  </w:style>
  <w:style w:type="paragraph" w:styleId="6">
    <w:name w:val="footer"/>
    <w:basedOn w:val="1"/>
    <w:link w:val="12"/>
    <w:autoRedefine/>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1"/>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9">
    <w:name w:val="Table Grid"/>
    <w:basedOn w:val="8"/>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7"/>
    <w:autoRedefine/>
    <w:qFormat/>
    <w:uiPriority w:val="99"/>
    <w:rPr>
      <w:sz w:val="18"/>
      <w:szCs w:val="18"/>
    </w:rPr>
  </w:style>
  <w:style w:type="character" w:customStyle="1" w:styleId="12">
    <w:name w:val="页脚 Char"/>
    <w:basedOn w:val="10"/>
    <w:link w:val="6"/>
    <w:autoRedefine/>
    <w:qFormat/>
    <w:uiPriority w:val="99"/>
    <w:rPr>
      <w:sz w:val="18"/>
      <w:szCs w:val="18"/>
    </w:rPr>
  </w:style>
  <w:style w:type="character" w:customStyle="1" w:styleId="13">
    <w:name w:val="正文文本 Char"/>
    <w:basedOn w:val="10"/>
    <w:link w:val="4"/>
    <w:autoRedefine/>
    <w:qFormat/>
    <w:uiPriority w:val="1"/>
    <w:rPr>
      <w:rFonts w:ascii="Times New Roman" w:hAnsi="Times New Roman" w:eastAsia="Times New Roman" w:cs="Times New Roman"/>
      <w:kern w:val="0"/>
      <w:sz w:val="20"/>
      <w:szCs w:val="20"/>
      <w:lang w:eastAsia="en-US"/>
    </w:rPr>
  </w:style>
  <w:style w:type="character" w:customStyle="1" w:styleId="14">
    <w:name w:val="批注框文本 Char"/>
    <w:basedOn w:val="10"/>
    <w:link w:val="5"/>
    <w:autoRedefine/>
    <w:semiHidden/>
    <w:qFormat/>
    <w:uiPriority w:val="99"/>
    <w:rPr>
      <w:sz w:val="18"/>
      <w:szCs w:val="18"/>
    </w:rPr>
  </w:style>
  <w:style w:type="paragraph" w:customStyle="1" w:styleId="15">
    <w:name w:val="Default"/>
    <w:autoRedefine/>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6">
    <w:name w:val="列出段落1"/>
    <w:basedOn w:val="1"/>
    <w:autoRedefine/>
    <w:qFormat/>
    <w:uiPriority w:val="34"/>
    <w:pPr>
      <w:ind w:firstLine="420" w:firstLineChars="200"/>
    </w:pPr>
  </w:style>
  <w:style w:type="paragraph" w:styleId="17">
    <w:name w:val="List Paragraph"/>
    <w:basedOn w:val="1"/>
    <w:autoRedefine/>
    <w:unhideWhenUsed/>
    <w:qFormat/>
    <w:uiPriority w:val="99"/>
    <w:pPr>
      <w:ind w:firstLine="420" w:firstLineChars="200"/>
    </w:pPr>
  </w:style>
  <w:style w:type="paragraph" w:customStyle="1" w:styleId="18">
    <w:name w:val="WPSOffice手动目录 1"/>
    <w:autoRedefine/>
    <w:qFormat/>
    <w:uiPriority w:val="0"/>
    <w:pPr>
      <w:ind w:leftChars="0"/>
    </w:pPr>
    <w:rPr>
      <w:rFonts w:ascii="Times New Roman" w:hAnsi="Times New Roman" w:eastAsia="宋体" w:cs="Times New Roman"/>
      <w:sz w:val="20"/>
      <w:szCs w:val="20"/>
    </w:rPr>
  </w:style>
  <w:style w:type="paragraph" w:customStyle="1" w:styleId="19">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9551</Words>
  <Characters>10070</Characters>
  <Lines>95</Lines>
  <Paragraphs>26</Paragraphs>
  <TotalTime>0</TotalTime>
  <ScaleCrop>false</ScaleCrop>
  <LinksUpToDate>false</LinksUpToDate>
  <CharactersWithSpaces>10489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颍</cp:lastModifiedBy>
  <cp:lastPrinted>2023-01-03T09:16:00Z</cp:lastPrinted>
  <dcterms:modified xsi:type="dcterms:W3CDTF">2024-02-01T01:59:17Z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9F6C8C8FD0504C849F522B48DFC05FDE</vt:lpwstr>
  </property>
</Properties>
</file>