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rPr>
          <w:rFonts w:ascii="黑体" w:hAnsi="黑体" w:eastAsia="黑体"/>
          <w:sz w:val="32"/>
          <w:szCs w:val="32"/>
        </w:rPr>
      </w:pPr>
      <w:r>
        <w:rPr>
          <w:rFonts w:hint="eastAsia" w:ascii="黑体" w:hAnsi="黑体" w:eastAsia="黑体"/>
          <w:sz w:val="32"/>
          <w:szCs w:val="32"/>
        </w:rPr>
        <w:t>附件1</w:t>
      </w:r>
    </w:p>
    <w:p>
      <w:pPr>
        <w:widowControl/>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2024年度</w:t>
      </w:r>
    </w:p>
    <w:p>
      <w:pPr>
        <w:widowControl/>
        <w:jc w:val="center"/>
        <w:rPr>
          <w:rFonts w:hint="eastAsia" w:asciiTheme="minorEastAsia" w:hAnsiTheme="minorEastAsia" w:eastAsiaTheme="minorEastAsia"/>
          <w:sz w:val="84"/>
          <w:szCs w:val="84"/>
          <w:lang w:eastAsia="zh-CN"/>
        </w:rPr>
      </w:pPr>
      <w:r>
        <w:rPr>
          <w:rFonts w:hint="eastAsia" w:ascii="方正小标宋简体" w:eastAsia="方正小标宋简体"/>
          <w:sz w:val="84"/>
          <w:szCs w:val="84"/>
          <w:lang w:eastAsia="zh-CN"/>
        </w:rPr>
        <w:t>鼓楼区招商服务中心</w:t>
      </w:r>
    </w:p>
    <w:p>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pPr>
        <w:widowControl/>
        <w:rPr>
          <w:sz w:val="84"/>
          <w:szCs w:val="84"/>
        </w:rPr>
      </w:pPr>
      <w:r>
        <w:rPr>
          <w:sz w:val="84"/>
          <w:szCs w:val="84"/>
        </w:rPr>
        <w:br w:type="page"/>
      </w:r>
    </w:p>
    <w:sdt>
      <w:sdtPr>
        <w:rPr>
          <w:rFonts w:ascii="宋体" w:hAnsi="宋体" w:eastAsia="宋体" w:cstheme="minorBidi"/>
          <w:kern w:val="2"/>
          <w:sz w:val="21"/>
          <w:szCs w:val="22"/>
          <w:lang w:val="en-US" w:eastAsia="zh-CN" w:bidi="ar-SA"/>
        </w:rPr>
        <w:id w:val="147483523"/>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eastAsia="方正小标宋简体" w:cs="Times New Roman" w:hAnsiTheme="majorEastAsia"/>
              <w:b w:val="0"/>
              <w:kern w:val="0"/>
              <w:sz w:val="44"/>
              <w:szCs w:val="20"/>
              <w:lang w:val="en-US" w:eastAsia="zh-CN" w:bidi="ar-SA"/>
            </w:rPr>
          </w:pPr>
          <w:bookmarkStart w:id="0" w:name="_Toc6762"/>
          <w:r>
            <w:rPr>
              <w:rFonts w:hint="eastAsia" w:ascii="方正小标宋简体" w:eastAsia="方正小标宋简体" w:cs="Times New Roman" w:hAnsiTheme="majorEastAsia"/>
              <w:b w:val="0"/>
              <w:kern w:val="0"/>
              <w:sz w:val="44"/>
              <w:szCs w:val="20"/>
              <w:lang w:val="en-US" w:eastAsia="zh-CN" w:bidi="ar-SA"/>
            </w:rPr>
            <w:t>目 录</w:t>
          </w:r>
        </w:p>
        <w:p>
          <w:pPr>
            <w:pStyle w:val="18"/>
            <w:tabs>
              <w:tab w:val="right" w:leader="dot" w:pos="8306"/>
            </w:tabs>
            <w:rPr>
              <w:b/>
            </w:rPr>
          </w:pPr>
          <w:r>
            <w:fldChar w:fldCharType="begin"/>
          </w:r>
          <w:r>
            <w:instrText xml:space="preserve">TOC \o "1-2" \h \u </w:instrText>
          </w:r>
          <w:r>
            <w:fldChar w:fldCharType="separate"/>
          </w:r>
        </w:p>
        <w:p>
          <w:pPr>
            <w:pStyle w:val="18"/>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_Toc17126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第一部分 部门概况</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_Toc17126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4</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_Toc5015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一、部门主要职责</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_Toc5015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_Toc20435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二、部门预算单位构成</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_Toc20435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_Toc14498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三、部门主要工作任务</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_Toc14498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5</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8"/>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_Toc27744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第二部分 2024年度部门预算表</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_Toc27744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7</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_Toc29335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一、收支预算总表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_Toc29335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8</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_Toc30671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二、收入预算总表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_Toc30671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9</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_Toc27650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三、支出预算总表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_Toc27650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10</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_Toc24965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四、财政拨款收支预算总表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_Toc24965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_Toc12695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五、一般公共预算拨款支出预算表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_Toc12695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_Toc31430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六、政府性基金预算拨款支出预算</w:t>
          </w:r>
          <w:bookmarkStart w:id="27" w:name="_GoBack"/>
          <w:bookmarkEnd w:id="27"/>
          <w:r>
            <w:rPr>
              <w:rFonts w:hint="eastAsia" w:ascii="仿宋" w:hAnsi="仿宋" w:eastAsia="仿宋" w:cs="Times New Roman"/>
              <w:kern w:val="0"/>
              <w:sz w:val="36"/>
              <w:szCs w:val="20"/>
              <w:lang w:val="en-US" w:eastAsia="zh-CN" w:bidi="ar-SA"/>
            </w:rPr>
            <w:t>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_Toc31430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_Toc20858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七、国有资本经营预算拨款支出预算表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_Toc20858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_Toc23368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八、一般公共预算支出经济分类情况表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_Toc23368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13</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_Toc26124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九、一般公共预算基本支出经济分类情况表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_Toc26124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14</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_Toc5994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十、一般公共预算“三公”经费支出预算表</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_Toc5994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17</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_Toc28610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十一、部门专项资金管理清单目录</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_Toc28610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18</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8"/>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_Toc15632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第三部分  2024年度部门预算情况说明</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_Toc15632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19</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_Toc16148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一、预算收支总体情况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_Toc16148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20</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_Toc29811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二、一般公共预算拨款支出情况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_Toc29811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20</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_Toc30342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三、政府性基金预算拨款支出情况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_Toc30342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_Toc19561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四、国有资本经营预算拨款支出情况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_Toc19561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_Toc11865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五、一般公共预算拨款基本支出情况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_Toc11865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21</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_Toc13807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六、一般公共预算“三公”经费支出情况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_Toc13807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rPr>
              <w:rFonts w:hint="eastAsia" w:ascii="仿宋" w:hAnsi="仿宋" w:eastAsia="仿宋" w:cs="Times New Roman"/>
              <w:kern w:val="0"/>
              <w:sz w:val="36"/>
              <w:szCs w:val="20"/>
              <w:lang w:val="en-US" w:eastAsia="zh-CN" w:bidi="ar-SA"/>
            </w:rPr>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_Toc20073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七、预算绩效目标情况</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_Toc20073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22</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9"/>
            <w:tabs>
              <w:tab w:val="right" w:leader="dot" w:pos="8306"/>
            </w:tabs>
          </w:pP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HYPERLINK \l _Toc4345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八、其他重要事项说明</w:t>
          </w:r>
          <w:r>
            <w:rPr>
              <w:rFonts w:hint="eastAsia" w:ascii="仿宋" w:hAnsi="仿宋" w:eastAsia="仿宋" w:cs="Times New Roman"/>
              <w:kern w:val="0"/>
              <w:sz w:val="36"/>
              <w:szCs w:val="20"/>
              <w:lang w:val="en-US" w:eastAsia="zh-CN" w:bidi="ar-SA"/>
            </w:rPr>
            <w:tab/>
          </w:r>
          <w:r>
            <w:rPr>
              <w:rFonts w:hint="eastAsia" w:ascii="仿宋" w:hAnsi="仿宋" w:eastAsia="仿宋" w:cs="Times New Roman"/>
              <w:kern w:val="0"/>
              <w:sz w:val="36"/>
              <w:szCs w:val="20"/>
              <w:lang w:val="en-US" w:eastAsia="zh-CN" w:bidi="ar-SA"/>
            </w:rPr>
            <w:fldChar w:fldCharType="begin"/>
          </w:r>
          <w:r>
            <w:rPr>
              <w:rFonts w:hint="eastAsia" w:ascii="仿宋" w:hAnsi="仿宋" w:eastAsia="仿宋" w:cs="Times New Roman"/>
              <w:kern w:val="0"/>
              <w:sz w:val="36"/>
              <w:szCs w:val="20"/>
              <w:lang w:val="en-US" w:eastAsia="zh-CN" w:bidi="ar-SA"/>
            </w:rPr>
            <w:instrText xml:space="preserve"> PAGEREF _Toc4345 \h </w:instrText>
          </w:r>
          <w:r>
            <w:rPr>
              <w:rFonts w:hint="eastAsia" w:ascii="仿宋" w:hAnsi="仿宋" w:eastAsia="仿宋" w:cs="Times New Roman"/>
              <w:kern w:val="0"/>
              <w:sz w:val="36"/>
              <w:szCs w:val="20"/>
              <w:lang w:val="en-US" w:eastAsia="zh-CN" w:bidi="ar-SA"/>
            </w:rPr>
            <w:fldChar w:fldCharType="separate"/>
          </w:r>
          <w:r>
            <w:rPr>
              <w:rFonts w:hint="eastAsia" w:ascii="仿宋" w:hAnsi="仿宋" w:eastAsia="仿宋" w:cs="Times New Roman"/>
              <w:kern w:val="0"/>
              <w:sz w:val="36"/>
              <w:szCs w:val="20"/>
              <w:lang w:val="en-US" w:eastAsia="zh-CN" w:bidi="ar-SA"/>
            </w:rPr>
            <w:t>23</w:t>
          </w:r>
          <w:r>
            <w:rPr>
              <w:rFonts w:hint="eastAsia" w:ascii="仿宋" w:hAnsi="仿宋" w:eastAsia="仿宋" w:cs="Times New Roman"/>
              <w:kern w:val="0"/>
              <w:sz w:val="36"/>
              <w:szCs w:val="20"/>
              <w:lang w:val="en-US" w:eastAsia="zh-CN" w:bidi="ar-SA"/>
            </w:rPr>
            <w:fldChar w:fldCharType="end"/>
          </w:r>
          <w:r>
            <w:rPr>
              <w:rFonts w:hint="eastAsia" w:ascii="仿宋" w:hAnsi="仿宋" w:eastAsia="仿宋" w:cs="Times New Roman"/>
              <w:kern w:val="0"/>
              <w:sz w:val="36"/>
              <w:szCs w:val="20"/>
              <w:lang w:val="en-US" w:eastAsia="zh-CN" w:bidi="ar-SA"/>
            </w:rPr>
            <w:fldChar w:fldCharType="end"/>
          </w:r>
        </w:p>
        <w:p>
          <w:pPr>
            <w:pStyle w:val="18"/>
            <w:tabs>
              <w:tab w:val="right" w:leader="dot" w:pos="8306"/>
            </w:tabs>
            <w:rPr>
              <w:rFonts w:hint="eastAsia" w:ascii="仿宋" w:hAnsi="仿宋" w:eastAsia="仿宋" w:cs="Times New Roman"/>
              <w:b/>
              <w:kern w:val="0"/>
              <w:sz w:val="36"/>
              <w:szCs w:val="20"/>
              <w:lang w:val="en-US" w:eastAsia="zh-CN" w:bidi="ar-SA"/>
            </w:rPr>
          </w:pP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_Toc6201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第四部分 名词解释</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_Toc6201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25</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r>
            <w:rPr>
              <w:b/>
            </w:rPr>
            <w:fldChar w:fldCharType="end"/>
          </w:r>
        </w:p>
      </w:sdtContent>
    </w:sdt>
    <w:bookmarkEnd w:id="0"/>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outlineLvl w:val="0"/>
        <w:rPr>
          <w:rFonts w:ascii="黑体" w:hAnsi="黑体" w:eastAsia="黑体"/>
          <w:sz w:val="56"/>
          <w:szCs w:val="36"/>
          <w:lang w:eastAsia="zh-CN"/>
        </w:rPr>
      </w:pPr>
      <w:bookmarkStart w:id="1" w:name="_Toc17126"/>
      <w:r>
        <w:rPr>
          <w:rFonts w:hint="eastAsia" w:ascii="黑体" w:hAnsi="黑体" w:eastAsia="黑体"/>
          <w:sz w:val="56"/>
          <w:szCs w:val="36"/>
          <w:lang w:eastAsia="zh-CN"/>
        </w:rPr>
        <w:t>第一部分</w:t>
      </w:r>
      <w:r>
        <w:rPr>
          <w:rFonts w:ascii="黑体" w:hAnsi="黑体" w:eastAsia="黑体"/>
          <w:sz w:val="56"/>
          <w:szCs w:val="36"/>
          <w:lang w:eastAsia="zh-CN"/>
        </w:rPr>
        <w:t xml:space="preserve"> </w:t>
      </w:r>
      <w:r>
        <w:rPr>
          <w:rFonts w:hint="eastAsia" w:ascii="黑体" w:hAnsi="黑体" w:eastAsia="黑体"/>
          <w:sz w:val="56"/>
          <w:szCs w:val="36"/>
          <w:lang w:eastAsia="zh-CN"/>
        </w:rPr>
        <w:t>部门概况</w:t>
      </w:r>
      <w:bookmarkEnd w:id="1"/>
    </w:p>
    <w:p>
      <w:pPr>
        <w:pStyle w:val="4"/>
        <w:rPr>
          <w:rFonts w:ascii="黑体" w:hAnsi="黑体" w:eastAsia="黑体"/>
          <w:sz w:val="36"/>
          <w:szCs w:val="36"/>
          <w:lang w:eastAsia="zh-CN"/>
        </w:rPr>
      </w:pPr>
    </w:p>
    <w:p>
      <w:pPr>
        <w:pStyle w:val="4"/>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4"/>
        <w:outlineLvl w:val="1"/>
        <w:rPr>
          <w:rFonts w:ascii="黑体" w:hAnsi="黑体" w:eastAsia="黑体" w:cstheme="minorBidi"/>
          <w:b w:val="0"/>
          <w:kern w:val="2"/>
          <w:sz w:val="32"/>
          <w:szCs w:val="32"/>
          <w:lang w:eastAsia="zh-CN"/>
        </w:rPr>
      </w:pPr>
      <w:bookmarkStart w:id="2" w:name="_Toc5015"/>
      <w:r>
        <w:rPr>
          <w:rFonts w:hint="eastAsia" w:ascii="黑体" w:hAnsi="黑体" w:eastAsia="黑体" w:cstheme="minorBidi"/>
          <w:b w:val="0"/>
          <w:kern w:val="2"/>
          <w:sz w:val="32"/>
          <w:szCs w:val="32"/>
          <w:lang w:eastAsia="zh-CN"/>
        </w:rPr>
        <w:t>一、部门主要职责</w:t>
      </w:r>
      <w:bookmarkEnd w:id="2"/>
    </w:p>
    <w:p>
      <w:pPr>
        <w:pStyle w:val="4"/>
        <w:rPr>
          <w:rFonts w:hint="eastAsia" w:ascii="仿宋" w:hAnsi="仿宋" w:eastAsia="仿宋" w:cs="仿宋"/>
          <w:sz w:val="32"/>
          <w:szCs w:val="32"/>
        </w:rPr>
      </w:pPr>
      <w:r>
        <w:rPr>
          <w:rFonts w:hint="eastAsia" w:ascii="仿宋" w:hAnsi="仿宋" w:eastAsia="仿宋"/>
          <w:sz w:val="32"/>
        </w:rPr>
        <w:t>鼓楼区招商服务中心的主要职责是：</w:t>
      </w:r>
      <w:r>
        <w:rPr>
          <w:rFonts w:hint="eastAsia" w:ascii="仿宋" w:hAnsi="仿宋" w:eastAsia="仿宋" w:cs="仿宋"/>
          <w:sz w:val="32"/>
          <w:szCs w:val="32"/>
        </w:rPr>
        <w:t>综合协调全区招商引资工作，拟定招商引资年度计划和工作方案，组织协调大型招商活动，建立健全招商项目资料库和重点客商名录，负责招商项目的综合协调、跟踪推进和督促指导，负责全区招商引资成果的统计和考核。</w:t>
      </w:r>
    </w:p>
    <w:p>
      <w:pPr>
        <w:pStyle w:val="4"/>
        <w:outlineLvl w:val="1"/>
        <w:rPr>
          <w:rFonts w:ascii="黑体" w:hAnsi="黑体" w:eastAsia="黑体" w:cstheme="minorBidi"/>
          <w:b w:val="0"/>
          <w:kern w:val="2"/>
          <w:sz w:val="32"/>
          <w:szCs w:val="32"/>
          <w:lang w:eastAsia="zh-CN"/>
        </w:rPr>
      </w:pPr>
      <w:bookmarkStart w:id="3" w:name="_Toc20435"/>
      <w:r>
        <w:rPr>
          <w:rFonts w:hint="eastAsia" w:ascii="黑体" w:hAnsi="黑体" w:eastAsia="黑体" w:cstheme="minorBidi"/>
          <w:b w:val="0"/>
          <w:kern w:val="2"/>
          <w:sz w:val="32"/>
          <w:szCs w:val="32"/>
          <w:lang w:eastAsia="zh-CN"/>
        </w:rPr>
        <w:t>二、部门预算单位构成</w:t>
      </w:r>
      <w:bookmarkEnd w:id="3"/>
    </w:p>
    <w:p>
      <w:pPr>
        <w:tabs>
          <w:tab w:val="left" w:pos="7513"/>
        </w:tabs>
        <w:adjustRightInd w:val="0"/>
        <w:snapToGrid w:val="0"/>
        <w:spacing w:line="600" w:lineRule="exact"/>
        <w:ind w:firstLine="640" w:firstLineChars="200"/>
        <w:rPr>
          <w:rFonts w:ascii="仿宋" w:hAnsi="仿宋" w:eastAsia="仿宋"/>
          <w:sz w:val="32"/>
        </w:rPr>
      </w:pPr>
      <w:r>
        <w:rPr>
          <w:rFonts w:hint="eastAsia" w:ascii="仿宋" w:hAnsi="仿宋" w:eastAsia="仿宋"/>
          <w:sz w:val="32"/>
        </w:rPr>
        <w:t>从预算单位构成看，鼓楼区招商服务中心包括1个处（科）室及0个下属单位，其中：列入202</w:t>
      </w:r>
      <w:r>
        <w:rPr>
          <w:rFonts w:hint="eastAsia" w:ascii="仿宋" w:hAnsi="仿宋" w:eastAsia="仿宋"/>
          <w:sz w:val="32"/>
          <w:lang w:val="en-US" w:eastAsia="zh-CN"/>
        </w:rPr>
        <w:t>4</w:t>
      </w:r>
      <w:r>
        <w:rPr>
          <w:rFonts w:hint="eastAsia" w:ascii="仿宋" w:hAnsi="仿宋" w:eastAsia="仿宋"/>
          <w:sz w:val="32"/>
        </w:rPr>
        <w:t>年部门预算编制范围的单位详细情况见下表</w:t>
      </w:r>
      <w:r>
        <w:rPr>
          <w:rFonts w:ascii="仿宋" w:hAnsi="仿宋" w:eastAsia="仿宋"/>
          <w:sz w:val="32"/>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627"/>
        <w:gridCol w:w="185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top"/>
          </w:tcPr>
          <w:p>
            <w:pPr>
              <w:tabs>
                <w:tab w:val="left" w:pos="7513"/>
              </w:tabs>
              <w:adjustRightInd w:val="0"/>
              <w:snapToGrid w:val="0"/>
              <w:spacing w:line="600" w:lineRule="exact"/>
              <w:jc w:val="center"/>
              <w:rPr>
                <w:rFonts w:ascii="仿宋" w:hAnsi="仿宋" w:eastAsia="仿宋"/>
                <w:sz w:val="32"/>
              </w:rPr>
            </w:pPr>
            <w:r>
              <w:rPr>
                <w:rFonts w:hint="eastAsia" w:ascii="仿宋" w:hAnsi="仿宋" w:eastAsia="仿宋"/>
                <w:sz w:val="32"/>
              </w:rPr>
              <w:t>单位名称</w:t>
            </w:r>
          </w:p>
        </w:tc>
        <w:tc>
          <w:tcPr>
            <w:tcW w:w="1627" w:type="dxa"/>
            <w:noWrap w:val="0"/>
            <w:vAlign w:val="top"/>
          </w:tcPr>
          <w:p>
            <w:pPr>
              <w:tabs>
                <w:tab w:val="left" w:pos="7513"/>
              </w:tabs>
              <w:adjustRightInd w:val="0"/>
              <w:snapToGrid w:val="0"/>
              <w:spacing w:line="600" w:lineRule="exact"/>
              <w:jc w:val="center"/>
              <w:rPr>
                <w:rFonts w:ascii="仿宋" w:hAnsi="仿宋" w:eastAsia="仿宋"/>
                <w:sz w:val="32"/>
              </w:rPr>
            </w:pPr>
            <w:r>
              <w:rPr>
                <w:rFonts w:hint="eastAsia" w:ascii="仿宋" w:hAnsi="仿宋" w:eastAsia="仿宋"/>
                <w:sz w:val="32"/>
              </w:rPr>
              <w:t>经费性质</w:t>
            </w:r>
          </w:p>
        </w:tc>
        <w:tc>
          <w:tcPr>
            <w:tcW w:w="1859" w:type="dxa"/>
            <w:noWrap w:val="0"/>
            <w:vAlign w:val="top"/>
          </w:tcPr>
          <w:p>
            <w:pPr>
              <w:tabs>
                <w:tab w:val="left" w:pos="7513"/>
              </w:tabs>
              <w:adjustRightInd w:val="0"/>
              <w:snapToGrid w:val="0"/>
              <w:spacing w:line="600" w:lineRule="exact"/>
              <w:jc w:val="center"/>
              <w:rPr>
                <w:rFonts w:ascii="仿宋" w:hAnsi="仿宋" w:eastAsia="仿宋"/>
                <w:sz w:val="32"/>
              </w:rPr>
            </w:pPr>
            <w:r>
              <w:rPr>
                <w:rFonts w:hint="eastAsia" w:ascii="仿宋" w:hAnsi="仿宋" w:eastAsia="仿宋"/>
                <w:sz w:val="32"/>
              </w:rPr>
              <w:t>人员编制数</w:t>
            </w:r>
          </w:p>
        </w:tc>
        <w:tc>
          <w:tcPr>
            <w:tcW w:w="2131" w:type="dxa"/>
            <w:noWrap w:val="0"/>
            <w:vAlign w:val="top"/>
          </w:tcPr>
          <w:p>
            <w:pPr>
              <w:tabs>
                <w:tab w:val="left" w:pos="7513"/>
              </w:tabs>
              <w:adjustRightInd w:val="0"/>
              <w:snapToGrid w:val="0"/>
              <w:spacing w:line="600" w:lineRule="exact"/>
              <w:jc w:val="center"/>
              <w:rPr>
                <w:rFonts w:ascii="仿宋" w:hAnsi="仿宋" w:eastAsia="仿宋"/>
                <w:sz w:val="32"/>
              </w:rPr>
            </w:pPr>
            <w:r>
              <w:rPr>
                <w:rFonts w:hint="eastAsia" w:ascii="仿宋" w:hAnsi="仿宋" w:eastAsia="仿宋"/>
                <w:sz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top"/>
          </w:tcPr>
          <w:p>
            <w:pPr>
              <w:tabs>
                <w:tab w:val="left" w:pos="7513"/>
              </w:tabs>
              <w:adjustRightInd w:val="0"/>
              <w:snapToGrid w:val="0"/>
              <w:spacing w:line="600" w:lineRule="exact"/>
              <w:jc w:val="center"/>
              <w:rPr>
                <w:rFonts w:ascii="仿宋" w:hAnsi="仿宋" w:eastAsia="仿宋"/>
                <w:sz w:val="28"/>
              </w:rPr>
            </w:pPr>
            <w:r>
              <w:rPr>
                <w:rFonts w:hint="eastAsia" w:ascii="仿宋" w:hAnsi="仿宋" w:eastAsia="仿宋"/>
                <w:sz w:val="28"/>
              </w:rPr>
              <w:t>鼓楼区招商服务中心</w:t>
            </w:r>
          </w:p>
        </w:tc>
        <w:tc>
          <w:tcPr>
            <w:tcW w:w="1627" w:type="dxa"/>
            <w:noWrap w:val="0"/>
            <w:vAlign w:val="top"/>
          </w:tcPr>
          <w:p>
            <w:pPr>
              <w:tabs>
                <w:tab w:val="left" w:pos="7513"/>
              </w:tabs>
              <w:adjustRightInd w:val="0"/>
              <w:snapToGrid w:val="0"/>
              <w:spacing w:line="600" w:lineRule="exact"/>
              <w:jc w:val="center"/>
              <w:rPr>
                <w:rFonts w:ascii="仿宋" w:hAnsi="仿宋" w:eastAsia="仿宋"/>
                <w:sz w:val="28"/>
              </w:rPr>
            </w:pPr>
            <w:r>
              <w:rPr>
                <w:rFonts w:hint="eastAsia" w:ascii="仿宋" w:hAnsi="仿宋" w:eastAsia="仿宋"/>
                <w:sz w:val="28"/>
              </w:rPr>
              <w:t>财政拨款</w:t>
            </w:r>
          </w:p>
        </w:tc>
        <w:tc>
          <w:tcPr>
            <w:tcW w:w="1859" w:type="dxa"/>
            <w:noWrap w:val="0"/>
            <w:vAlign w:val="top"/>
          </w:tcPr>
          <w:p>
            <w:pPr>
              <w:tabs>
                <w:tab w:val="left" w:pos="7513"/>
              </w:tabs>
              <w:adjustRightInd w:val="0"/>
              <w:snapToGrid w:val="0"/>
              <w:spacing w:line="600" w:lineRule="exact"/>
              <w:jc w:val="center"/>
              <w:rPr>
                <w:rFonts w:hint="eastAsia" w:ascii="仿宋" w:hAnsi="仿宋" w:eastAsia="仿宋"/>
                <w:sz w:val="28"/>
                <w:lang w:eastAsia="zh-CN"/>
              </w:rPr>
            </w:pPr>
            <w:r>
              <w:rPr>
                <w:rFonts w:hint="eastAsia" w:ascii="仿宋" w:hAnsi="仿宋" w:eastAsia="仿宋"/>
                <w:sz w:val="28"/>
                <w:lang w:val="en-US" w:eastAsia="zh-CN"/>
              </w:rPr>
              <w:t>8</w:t>
            </w:r>
          </w:p>
        </w:tc>
        <w:tc>
          <w:tcPr>
            <w:tcW w:w="2131" w:type="dxa"/>
            <w:noWrap w:val="0"/>
            <w:vAlign w:val="top"/>
          </w:tcPr>
          <w:p>
            <w:pPr>
              <w:tabs>
                <w:tab w:val="left" w:pos="7513"/>
              </w:tabs>
              <w:adjustRightInd w:val="0"/>
              <w:snapToGrid w:val="0"/>
              <w:spacing w:line="600" w:lineRule="exact"/>
              <w:jc w:val="center"/>
              <w:rPr>
                <w:rFonts w:hint="eastAsia" w:ascii="仿宋" w:hAnsi="仿宋" w:eastAsia="仿宋"/>
                <w:sz w:val="28"/>
                <w:lang w:val="en-US" w:eastAsia="zh-CN"/>
              </w:rPr>
            </w:pPr>
            <w:r>
              <w:rPr>
                <w:rFonts w:hint="eastAsia" w:ascii="仿宋" w:hAnsi="仿宋" w:eastAsia="仿宋"/>
                <w:sz w:val="28"/>
                <w:lang w:val="en-US" w:eastAsia="zh-CN"/>
              </w:rPr>
              <w:t>8</w:t>
            </w:r>
          </w:p>
        </w:tc>
      </w:tr>
    </w:tbl>
    <w:p>
      <w:pPr>
        <w:tabs>
          <w:tab w:val="left" w:pos="7513"/>
        </w:tabs>
        <w:adjustRightInd w:val="0"/>
        <w:snapToGrid w:val="0"/>
        <w:spacing w:line="600" w:lineRule="exact"/>
        <w:outlineLvl w:val="1"/>
        <w:rPr>
          <w:rFonts w:ascii="黑体" w:hAnsi="黑体" w:eastAsia="黑体"/>
          <w:b w:val="0"/>
          <w:sz w:val="32"/>
          <w:szCs w:val="32"/>
        </w:rPr>
      </w:pPr>
      <w:bookmarkStart w:id="4" w:name="_Toc14498"/>
      <w:r>
        <w:rPr>
          <w:rFonts w:hint="eastAsia" w:ascii="黑体" w:hAnsi="黑体" w:eastAsia="黑体" w:cstheme="minorBidi"/>
          <w:b w:val="0"/>
          <w:kern w:val="2"/>
          <w:sz w:val="32"/>
          <w:szCs w:val="32"/>
          <w:lang w:eastAsia="zh-CN"/>
        </w:rPr>
        <w:t>三、部门主要工作任务</w:t>
      </w:r>
      <w:bookmarkEnd w:id="4"/>
    </w:p>
    <w:p>
      <w:pPr>
        <w:pStyle w:val="2"/>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鼓楼区招商服务中心部门主要任务是：开展全区招商引资工作，以“重大项目招商攻坚突破行动”为抓手，立足“两中心、五平台”载体资源优势，主攻“5+2”重点产业链，通过外出招商、以商招商、展会招商、举办专场推介活动等形式，精准对接引进符合我区发展定位的行业龙头产业，完成市里下达的任务指标：2024年全区新落地重大招商项目52项，其中产业链项目21项、重点招商项目15项、台资项目10项、侨资项目6项。此外，做好省市签约活动及重点招商项目库入库项目谋划工作。</w:t>
      </w:r>
    </w:p>
    <w:p>
      <w:pPr>
        <w:spacing w:line="540" w:lineRule="exact"/>
        <w:ind w:firstLine="640" w:firstLineChars="200"/>
        <w:rPr>
          <w:rFonts w:hint="eastAsia" w:ascii="仿宋" w:hAnsi="仿宋" w:eastAsia="仿宋"/>
          <w:color w:val="000000"/>
          <w:sz w:val="32"/>
        </w:rPr>
      </w:pPr>
    </w:p>
    <w:p>
      <w:pPr>
        <w:ind w:firstLine="640" w:firstLineChars="200"/>
        <w:rPr>
          <w:rFonts w:ascii="仿宋" w:hAnsi="仿宋" w:eastAsia="仿宋" w:cs="仿宋_GB2312"/>
          <w:sz w:val="32"/>
          <w:szCs w:val="32"/>
        </w:rPr>
      </w:pPr>
    </w:p>
    <w:p>
      <w:pPr>
        <w:pStyle w:val="4"/>
        <w:jc w:val="center"/>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outlineLvl w:val="0"/>
        <w:rPr>
          <w:rFonts w:ascii="黑体" w:hAnsi="黑体" w:eastAsia="黑体"/>
          <w:sz w:val="56"/>
          <w:szCs w:val="36"/>
          <w:lang w:eastAsia="zh-CN"/>
        </w:rPr>
      </w:pPr>
      <w:bookmarkStart w:id="5" w:name="_Toc27744"/>
      <w:r>
        <w:rPr>
          <w:rFonts w:hint="eastAsia" w:ascii="黑体" w:hAnsi="黑体" w:eastAsia="黑体"/>
          <w:sz w:val="56"/>
          <w:szCs w:val="36"/>
          <w:lang w:eastAsia="zh-CN"/>
        </w:rPr>
        <w:t>第二部分</w:t>
      </w:r>
      <w:r>
        <w:rPr>
          <w:rFonts w:ascii="黑体" w:hAnsi="黑体" w:eastAsia="黑体"/>
          <w:sz w:val="56"/>
          <w:szCs w:val="36"/>
          <w:lang w:eastAsia="zh-CN"/>
        </w:rPr>
        <w:t xml:space="preserve"> </w:t>
      </w:r>
      <w:r>
        <w:rPr>
          <w:rFonts w:hint="eastAsia" w:ascii="黑体" w:hAnsi="黑体" w:eastAsia="黑体"/>
          <w:sz w:val="56"/>
          <w:szCs w:val="36"/>
          <w:lang w:val="en-US" w:eastAsia="zh-CN"/>
        </w:rPr>
        <w:t>2024年度</w:t>
      </w:r>
      <w:r>
        <w:rPr>
          <w:rFonts w:hint="eastAsia" w:ascii="黑体" w:hAnsi="黑体" w:eastAsia="黑体"/>
          <w:sz w:val="56"/>
          <w:szCs w:val="36"/>
          <w:lang w:eastAsia="zh-CN"/>
        </w:rPr>
        <w:t>部门预算表</w:t>
      </w:r>
      <w:bookmarkEnd w:id="5"/>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楷体" w:hAnsi="楷体" w:eastAsia="楷体"/>
          <w:sz w:val="28"/>
          <w:szCs w:val="28"/>
        </w:rPr>
      </w:pPr>
      <w:bookmarkStart w:id="6" w:name="_Toc29335"/>
      <w:r>
        <w:rPr>
          <w:rFonts w:hint="eastAsia" w:ascii="黑体" w:hAnsi="黑体" w:eastAsia="黑体" w:cstheme="minorBidi"/>
          <w:kern w:val="2"/>
          <w:sz w:val="32"/>
          <w:szCs w:val="32"/>
          <w:lang w:eastAsia="zh-CN"/>
        </w:rPr>
        <w:t>一、收支预算总表</w:t>
      </w:r>
      <w:bookmarkEnd w:id="6"/>
    </w:p>
    <w:tbl>
      <w:tblPr>
        <w:tblStyle w:val="8"/>
        <w:tblW w:w="5000" w:type="pct"/>
        <w:tblInd w:w="0" w:type="dxa"/>
        <w:tblLayout w:type="autofit"/>
        <w:tblCellMar>
          <w:top w:w="0" w:type="dxa"/>
          <w:left w:w="108" w:type="dxa"/>
          <w:bottom w:w="0" w:type="dxa"/>
          <w:right w:w="108" w:type="dxa"/>
        </w:tblCellMar>
      </w:tblPr>
      <w:tblGrid>
        <w:gridCol w:w="2736"/>
        <w:gridCol w:w="1433"/>
        <w:gridCol w:w="2916"/>
        <w:gridCol w:w="1437"/>
      </w:tblGrid>
      <w:tr>
        <w:tblPrEx>
          <w:tblCellMar>
            <w:top w:w="0" w:type="dxa"/>
            <w:left w:w="108" w:type="dxa"/>
            <w:bottom w:w="0" w:type="dxa"/>
            <w:right w:w="108" w:type="dxa"/>
          </w:tblCellMar>
        </w:tblPrEx>
        <w:trPr>
          <w:trHeight w:val="40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宋体" w:eastAsia="方正小标宋简体" w:cs="宋体"/>
                <w:kern w:val="0"/>
                <w:sz w:val="32"/>
                <w:szCs w:val="32"/>
              </w:rPr>
            </w:pPr>
            <w:r>
              <w:rPr>
                <w:rFonts w:ascii="宋体" w:hAnsi="宋体" w:eastAsia="宋体" w:cs="宋体"/>
                <w:i w:val="0"/>
                <w:iCs w:val="0"/>
                <w:color w:val="000000"/>
                <w:kern w:val="0"/>
                <w:sz w:val="28"/>
                <w:szCs w:val="28"/>
                <w:u w:val="none"/>
                <w:lang w:val="en-US" w:eastAsia="zh-CN" w:bidi="ar"/>
              </w:rPr>
              <w:t>2024年度收支预算总表</w:t>
            </w:r>
          </w:p>
        </w:tc>
      </w:tr>
      <w:tr>
        <w:tblPrEx>
          <w:tblCellMar>
            <w:top w:w="0" w:type="dxa"/>
            <w:left w:w="108" w:type="dxa"/>
            <w:bottom w:w="0" w:type="dxa"/>
            <w:right w:w="108" w:type="dxa"/>
          </w:tblCellMar>
        </w:tblPrEx>
        <w:trPr>
          <w:trHeight w:val="285" w:hRule="atLeast"/>
        </w:trPr>
        <w:tc>
          <w:tcPr>
            <w:tcW w:w="1252" w:type="pct"/>
            <w:tcBorders>
              <w:top w:val="nil"/>
              <w:left w:val="nil"/>
              <w:bottom w:val="nil"/>
              <w:right w:val="nil"/>
            </w:tcBorders>
            <w:shd w:val="clear" w:color="auto" w:fill="auto"/>
            <w:noWrap/>
            <w:vAlign w:val="center"/>
          </w:tcPr>
          <w:p>
            <w:pPr>
              <w:rPr>
                <w:rFonts w:ascii="宋体" w:hAnsi="宋体" w:eastAsia="宋体" w:cs="宋体"/>
                <w:kern w:val="0"/>
                <w:sz w:val="24"/>
                <w:szCs w:val="24"/>
              </w:rPr>
            </w:pPr>
          </w:p>
        </w:tc>
        <w:tc>
          <w:tcPr>
            <w:tcW w:w="1209" w:type="pct"/>
            <w:tcBorders>
              <w:top w:val="nil"/>
              <w:left w:val="nil"/>
              <w:bottom w:val="nil"/>
              <w:right w:val="nil"/>
            </w:tcBorders>
            <w:shd w:val="clear" w:color="auto" w:fill="auto"/>
            <w:noWrap/>
            <w:vAlign w:val="center"/>
          </w:tcPr>
          <w:p/>
        </w:tc>
        <w:tc>
          <w:tcPr>
            <w:tcW w:w="1326" w:type="pct"/>
            <w:tcBorders>
              <w:top w:val="nil"/>
              <w:left w:val="nil"/>
              <w:bottom w:val="nil"/>
              <w:right w:val="nil"/>
            </w:tcBorders>
            <w:shd w:val="clear" w:color="auto" w:fill="auto"/>
            <w:noWrap/>
            <w:vAlign w:val="center"/>
          </w:tcPr>
          <w:p/>
        </w:tc>
        <w:tc>
          <w:tcPr>
            <w:tcW w:w="121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单位：万元</w:t>
            </w:r>
          </w:p>
        </w:tc>
      </w:tr>
      <w:tr>
        <w:tblPrEx>
          <w:tblCellMar>
            <w:top w:w="0" w:type="dxa"/>
            <w:left w:w="108" w:type="dxa"/>
            <w:bottom w:w="0" w:type="dxa"/>
            <w:right w:w="108" w:type="dxa"/>
          </w:tblCellMar>
        </w:tblPrEx>
        <w:trPr>
          <w:trHeight w:val="402" w:hRule="atLeast"/>
        </w:trPr>
        <w:tc>
          <w:tcPr>
            <w:tcW w:w="24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ascii="宋体" w:hAnsi="宋体" w:eastAsia="宋体" w:cs="宋体"/>
                <w:i w:val="0"/>
                <w:iCs w:val="0"/>
                <w:color w:val="000000"/>
                <w:kern w:val="0"/>
                <w:sz w:val="18"/>
                <w:szCs w:val="18"/>
                <w:u w:val="none"/>
                <w:lang w:val="en-US" w:eastAsia="zh-CN" w:bidi="ar"/>
              </w:rPr>
              <w:t>收  入</w:t>
            </w:r>
          </w:p>
        </w:tc>
        <w:tc>
          <w:tcPr>
            <w:tcW w:w="2537"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ascii="宋体" w:hAnsi="宋体" w:eastAsia="宋体" w:cs="宋体"/>
                <w:i w:val="0"/>
                <w:iCs w:val="0"/>
                <w:color w:val="000000"/>
                <w:kern w:val="0"/>
                <w:sz w:val="18"/>
                <w:szCs w:val="18"/>
                <w:u w:val="none"/>
                <w:lang w:val="en-US" w:eastAsia="zh-CN" w:bidi="ar"/>
              </w:rPr>
              <w:t>支  出</w:t>
            </w: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ascii="宋体" w:hAnsi="宋体" w:eastAsia="宋体" w:cs="宋体"/>
                <w:i w:val="0"/>
                <w:iCs w:val="0"/>
                <w:color w:val="000000"/>
                <w:kern w:val="0"/>
                <w:sz w:val="18"/>
                <w:szCs w:val="18"/>
                <w:u w:val="none"/>
                <w:lang w:val="en-US" w:eastAsia="zh-CN" w:bidi="ar"/>
              </w:rPr>
              <w:t xml:space="preserve">         项目</w:t>
            </w:r>
          </w:p>
        </w:tc>
        <w:tc>
          <w:tcPr>
            <w:tcW w:w="120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ascii="宋体" w:hAnsi="宋体" w:eastAsia="宋体" w:cs="宋体"/>
                <w:i w:val="0"/>
                <w:iCs w:val="0"/>
                <w:color w:val="000000"/>
                <w:kern w:val="0"/>
                <w:sz w:val="18"/>
                <w:szCs w:val="18"/>
                <w:u w:val="none"/>
                <w:lang w:val="en-US" w:eastAsia="zh-CN" w:bidi="ar"/>
              </w:rPr>
              <w:t>预算数</w:t>
            </w: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ascii="宋体" w:hAnsi="宋体" w:eastAsia="宋体" w:cs="宋体"/>
                <w:i w:val="0"/>
                <w:iCs w:val="0"/>
                <w:color w:val="000000"/>
                <w:kern w:val="0"/>
                <w:sz w:val="18"/>
                <w:szCs w:val="18"/>
                <w:u w:val="none"/>
                <w:lang w:val="en-US" w:eastAsia="zh-CN" w:bidi="ar"/>
              </w:rPr>
              <w:t xml:space="preserve">        项目</w:t>
            </w:r>
          </w:p>
        </w:tc>
        <w:tc>
          <w:tcPr>
            <w:tcW w:w="12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ascii="宋体" w:hAnsi="宋体" w:eastAsia="宋体" w:cs="宋体"/>
                <w:i w:val="0"/>
                <w:iCs w:val="0"/>
                <w:color w:val="000000"/>
                <w:kern w:val="0"/>
                <w:sz w:val="18"/>
                <w:szCs w:val="18"/>
                <w:u w:val="none"/>
                <w:lang w:val="en-US" w:eastAsia="zh-CN" w:bidi="ar"/>
              </w:rPr>
              <w:t>预算数</w:t>
            </w: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一、一般公共预算拨款收入</w:t>
            </w:r>
          </w:p>
        </w:tc>
        <w:tc>
          <w:tcPr>
            <w:tcW w:w="120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197.83</w:t>
            </w: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一、一般公共服务支出</w:t>
            </w:r>
          </w:p>
        </w:tc>
        <w:tc>
          <w:tcPr>
            <w:tcW w:w="12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197.83</w:t>
            </w: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二、政府性基金预算拨款收入</w:t>
            </w:r>
          </w:p>
        </w:tc>
        <w:tc>
          <w:tcPr>
            <w:tcW w:w="1209"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二、外交支出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三、国有资本经营预算拨款收入</w:t>
            </w:r>
          </w:p>
        </w:tc>
        <w:tc>
          <w:tcPr>
            <w:tcW w:w="1209"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三、国防支出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四、财政专户管理资金收入</w:t>
            </w:r>
          </w:p>
        </w:tc>
        <w:tc>
          <w:tcPr>
            <w:tcW w:w="1209"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四、公共安全支出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五、事业收入</w:t>
            </w:r>
          </w:p>
        </w:tc>
        <w:tc>
          <w:tcPr>
            <w:tcW w:w="1209"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五、教育支出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六、事业单位经营收入</w:t>
            </w:r>
          </w:p>
        </w:tc>
        <w:tc>
          <w:tcPr>
            <w:tcW w:w="1209"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六、科学技术支出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七、上级补助收入</w:t>
            </w:r>
          </w:p>
        </w:tc>
        <w:tc>
          <w:tcPr>
            <w:tcW w:w="1209"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七、文化旅游体育与传媒支出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八、附属单位上缴收入</w:t>
            </w:r>
          </w:p>
        </w:tc>
        <w:tc>
          <w:tcPr>
            <w:tcW w:w="1209"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八、社会保障和就业支出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九、其他收入</w:t>
            </w:r>
          </w:p>
        </w:tc>
        <w:tc>
          <w:tcPr>
            <w:tcW w:w="1209"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九、卫生健康支出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十、上年结转结余</w:t>
            </w:r>
          </w:p>
        </w:tc>
        <w:tc>
          <w:tcPr>
            <w:tcW w:w="1209"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十、节能环保支出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十一、城乡社区支出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十二、农林水支出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十三、交通运输支出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十四、资源勘探工业信息等支出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十五、商业服务业等支出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十六、金融支出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十七、援助其他地区支出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十八、自然资源海洋气象等支出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十九、住房保障支出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二十、粮油物资储备支出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二十一、国有资本经营预算支出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val="0"/>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58"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二十三、其他支出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二十四、债务还本支出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二十五、债务付息支出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1209" w:type="pct"/>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二十六、债务发行费用支出</w:t>
            </w:r>
          </w:p>
        </w:tc>
        <w:tc>
          <w:tcPr>
            <w:tcW w:w="1210"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kern w:val="0"/>
                <w:sz w:val="22"/>
              </w:rPr>
            </w:pPr>
            <w:r>
              <w:rPr>
                <w:rFonts w:ascii="宋体" w:hAnsi="宋体" w:eastAsia="宋体" w:cs="宋体"/>
                <w:i w:val="0"/>
                <w:iCs w:val="0"/>
                <w:color w:val="000000"/>
                <w:kern w:val="0"/>
                <w:sz w:val="18"/>
                <w:szCs w:val="18"/>
                <w:u w:val="none"/>
                <w:lang w:val="en-US" w:eastAsia="zh-CN" w:bidi="ar"/>
              </w:rPr>
              <w:t>收入合计</w:t>
            </w:r>
          </w:p>
        </w:tc>
        <w:tc>
          <w:tcPr>
            <w:tcW w:w="120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kern w:val="0"/>
                <w:sz w:val="22"/>
              </w:rPr>
            </w:pPr>
            <w:r>
              <w:rPr>
                <w:rFonts w:ascii="宋体" w:hAnsi="宋体" w:eastAsia="宋体" w:cs="宋体"/>
                <w:i w:val="0"/>
                <w:iCs w:val="0"/>
                <w:color w:val="000000"/>
                <w:kern w:val="0"/>
                <w:sz w:val="18"/>
                <w:szCs w:val="18"/>
                <w:u w:val="none"/>
                <w:lang w:val="en-US" w:eastAsia="zh-CN" w:bidi="ar"/>
              </w:rPr>
              <w:t>197.83</w:t>
            </w:r>
          </w:p>
        </w:tc>
        <w:tc>
          <w:tcPr>
            <w:tcW w:w="1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kern w:val="0"/>
                <w:sz w:val="22"/>
              </w:rPr>
            </w:pPr>
            <w:r>
              <w:rPr>
                <w:rFonts w:ascii="宋体" w:hAnsi="宋体" w:eastAsia="宋体" w:cs="宋体"/>
                <w:i w:val="0"/>
                <w:iCs w:val="0"/>
                <w:color w:val="000000"/>
                <w:kern w:val="0"/>
                <w:sz w:val="18"/>
                <w:szCs w:val="18"/>
                <w:u w:val="none"/>
                <w:lang w:val="en-US" w:eastAsia="zh-CN" w:bidi="ar"/>
              </w:rPr>
              <w:t>支出合计</w:t>
            </w:r>
          </w:p>
        </w:tc>
        <w:tc>
          <w:tcPr>
            <w:tcW w:w="121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kern w:val="0"/>
                <w:sz w:val="22"/>
              </w:rPr>
            </w:pPr>
            <w:r>
              <w:rPr>
                <w:rFonts w:ascii="宋体" w:hAnsi="宋体" w:eastAsia="宋体" w:cs="宋体"/>
                <w:i w:val="0"/>
                <w:iCs w:val="0"/>
                <w:color w:val="000000"/>
                <w:kern w:val="0"/>
                <w:sz w:val="18"/>
                <w:szCs w:val="18"/>
                <w:u w:val="none"/>
                <w:lang w:val="en-US" w:eastAsia="zh-CN" w:bidi="ar"/>
              </w:rPr>
              <w:t>197.83</w:t>
            </w:r>
          </w:p>
        </w:tc>
      </w:tr>
    </w:tbl>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7" w:name="_Toc30671"/>
      <w:r>
        <w:rPr>
          <w:rFonts w:hint="eastAsia" w:ascii="黑体" w:hAnsi="黑体" w:eastAsia="黑体"/>
          <w:sz w:val="32"/>
          <w:szCs w:val="32"/>
        </w:rPr>
        <w:t>二、收入预算总表</w:t>
      </w:r>
      <w:bookmarkEnd w:id="7"/>
    </w:p>
    <w:tbl>
      <w:tblPr>
        <w:tblStyle w:val="8"/>
        <w:tblW w:w="5000" w:type="pct"/>
        <w:tblInd w:w="0" w:type="dxa"/>
        <w:tblLayout w:type="autofit"/>
        <w:tblCellMar>
          <w:top w:w="0" w:type="dxa"/>
          <w:left w:w="108" w:type="dxa"/>
          <w:bottom w:w="0" w:type="dxa"/>
          <w:right w:w="108" w:type="dxa"/>
        </w:tblCellMar>
      </w:tblPr>
      <w:tblGrid>
        <w:gridCol w:w="1746"/>
        <w:gridCol w:w="2381"/>
        <w:gridCol w:w="890"/>
        <w:gridCol w:w="890"/>
        <w:gridCol w:w="890"/>
        <w:gridCol w:w="890"/>
        <w:gridCol w:w="893"/>
        <w:gridCol w:w="893"/>
        <w:gridCol w:w="893"/>
        <w:gridCol w:w="893"/>
        <w:gridCol w:w="893"/>
        <w:gridCol w:w="893"/>
        <w:gridCol w:w="1129"/>
      </w:tblGrid>
      <w:tr>
        <w:tblPrEx>
          <w:tblCellMar>
            <w:top w:w="0" w:type="dxa"/>
            <w:left w:w="108" w:type="dxa"/>
            <w:bottom w:w="0" w:type="dxa"/>
            <w:right w:w="108" w:type="dxa"/>
          </w:tblCellMar>
        </w:tblPrEx>
        <w:trPr>
          <w:trHeight w:val="582" w:hRule="atLeast"/>
        </w:trPr>
        <w:tc>
          <w:tcPr>
            <w:tcW w:w="5000" w:type="pct"/>
            <w:gridSpan w:val="13"/>
            <w:tcBorders>
              <w:top w:val="nil"/>
              <w:left w:val="nil"/>
              <w:bottom w:val="nil"/>
              <w:right w:val="nil"/>
            </w:tcBorders>
            <w:vAlign w:val="center"/>
          </w:tcPr>
          <w:p>
            <w:pPr>
              <w:keepNext w:val="0"/>
              <w:keepLines w:val="0"/>
              <w:widowControl/>
              <w:suppressLineNumbers w:val="0"/>
              <w:jc w:val="center"/>
              <w:textAlignment w:val="center"/>
              <w:rPr>
                <w:rFonts w:ascii="方正小标宋简体" w:hAnsi="宋体" w:eastAsia="方正小标宋简体" w:cs="宋体"/>
                <w:kern w:val="0"/>
                <w:sz w:val="32"/>
                <w:szCs w:val="32"/>
              </w:rPr>
            </w:pPr>
            <w:r>
              <w:rPr>
                <w:rFonts w:ascii="宋体" w:hAnsi="宋体" w:eastAsia="宋体" w:cs="宋体"/>
                <w:i w:val="0"/>
                <w:iCs w:val="0"/>
                <w:color w:val="000000"/>
                <w:kern w:val="0"/>
                <w:sz w:val="30"/>
                <w:szCs w:val="30"/>
                <w:u w:val="none"/>
                <w:lang w:val="en-US" w:eastAsia="zh-CN" w:bidi="ar"/>
              </w:rPr>
              <w:t>2024年度收入预算总表</w:t>
            </w:r>
          </w:p>
        </w:tc>
      </w:tr>
      <w:tr>
        <w:tblPrEx>
          <w:tblCellMar>
            <w:top w:w="0" w:type="dxa"/>
            <w:left w:w="108" w:type="dxa"/>
            <w:bottom w:w="0" w:type="dxa"/>
            <w:right w:w="108" w:type="dxa"/>
          </w:tblCellMar>
        </w:tblPrEx>
        <w:trPr>
          <w:trHeight w:val="510" w:hRule="atLeast"/>
        </w:trPr>
        <w:tc>
          <w:tcPr>
            <w:tcW w:w="616" w:type="pct"/>
            <w:tcBorders>
              <w:top w:val="nil"/>
              <w:left w:val="nil"/>
              <w:bottom w:val="single" w:color="auto" w:sz="4" w:space="0"/>
              <w:right w:val="nil"/>
            </w:tcBorders>
            <w:shd w:val="clear" w:color="auto" w:fill="auto"/>
            <w:noWrap/>
            <w:vAlign w:val="center"/>
          </w:tcPr>
          <w:p>
            <w:pPr>
              <w:rPr>
                <w:rFonts w:ascii="宋体" w:hAnsi="宋体" w:eastAsia="宋体" w:cs="宋体"/>
                <w:kern w:val="0"/>
                <w:sz w:val="24"/>
                <w:szCs w:val="24"/>
              </w:rPr>
            </w:pPr>
          </w:p>
        </w:tc>
        <w:tc>
          <w:tcPr>
            <w:tcW w:w="840" w:type="pct"/>
            <w:tcBorders>
              <w:top w:val="nil"/>
              <w:left w:val="nil"/>
              <w:bottom w:val="single" w:color="auto" w:sz="4" w:space="0"/>
              <w:right w:val="nil"/>
            </w:tcBorders>
            <w:shd w:val="clear" w:color="auto" w:fill="auto"/>
            <w:noWrap/>
            <w:vAlign w:val="center"/>
          </w:tcPr>
          <w:p>
            <w:pPr>
              <w:rPr>
                <w:rFonts w:ascii="黑体" w:hAnsi="黑体" w:eastAsia="黑体" w:cs="宋体"/>
                <w:kern w:val="0"/>
                <w:sz w:val="40"/>
                <w:szCs w:val="40"/>
              </w:rPr>
            </w:pPr>
          </w:p>
        </w:tc>
        <w:tc>
          <w:tcPr>
            <w:tcW w:w="314" w:type="pct"/>
            <w:tcBorders>
              <w:top w:val="nil"/>
              <w:left w:val="nil"/>
              <w:bottom w:val="single" w:color="auto" w:sz="4" w:space="0"/>
              <w:right w:val="nil"/>
            </w:tcBorders>
            <w:shd w:val="clear" w:color="auto" w:fill="auto"/>
            <w:vAlign w:val="center"/>
          </w:tcPr>
          <w:p>
            <w:pPr>
              <w:rPr>
                <w:rFonts w:ascii="宋体" w:hAnsi="宋体" w:eastAsia="宋体" w:cs="宋体"/>
                <w:kern w:val="0"/>
                <w:sz w:val="24"/>
                <w:szCs w:val="24"/>
              </w:rPr>
            </w:pPr>
          </w:p>
        </w:tc>
        <w:tc>
          <w:tcPr>
            <w:tcW w:w="314" w:type="pct"/>
            <w:tcBorders>
              <w:top w:val="nil"/>
              <w:left w:val="nil"/>
              <w:bottom w:val="single" w:color="auto" w:sz="4" w:space="0"/>
              <w:right w:val="nil"/>
            </w:tcBorders>
            <w:shd w:val="clear" w:color="auto" w:fill="auto"/>
            <w:vAlign w:val="center"/>
          </w:tcPr>
          <w:p>
            <w:pPr>
              <w:rPr>
                <w:rFonts w:ascii="宋体" w:hAnsi="宋体" w:eastAsia="宋体" w:cs="宋体"/>
                <w:kern w:val="0"/>
                <w:sz w:val="24"/>
                <w:szCs w:val="24"/>
              </w:rPr>
            </w:pPr>
          </w:p>
        </w:tc>
        <w:tc>
          <w:tcPr>
            <w:tcW w:w="314" w:type="pct"/>
            <w:tcBorders>
              <w:top w:val="nil"/>
              <w:left w:val="nil"/>
              <w:bottom w:val="single" w:color="auto" w:sz="4" w:space="0"/>
              <w:right w:val="nil"/>
            </w:tcBorders>
            <w:vAlign w:val="center"/>
          </w:tcPr>
          <w:p>
            <w:pPr>
              <w:rPr>
                <w:rFonts w:ascii="宋体" w:hAnsi="宋体" w:eastAsia="宋体" w:cs="宋体"/>
                <w:kern w:val="0"/>
                <w:sz w:val="24"/>
                <w:szCs w:val="24"/>
              </w:rPr>
            </w:pPr>
          </w:p>
        </w:tc>
        <w:tc>
          <w:tcPr>
            <w:tcW w:w="314" w:type="pct"/>
            <w:tcBorders>
              <w:top w:val="nil"/>
              <w:left w:val="nil"/>
              <w:bottom w:val="single" w:color="auto" w:sz="4" w:space="0"/>
              <w:right w:val="nil"/>
            </w:tcBorders>
            <w:shd w:val="clear" w:color="auto" w:fill="auto"/>
            <w:noWrap/>
            <w:vAlign w:val="center"/>
          </w:tcPr>
          <w:p>
            <w:pPr>
              <w:rPr>
                <w:rFonts w:ascii="宋体" w:hAnsi="宋体" w:eastAsia="宋体" w:cs="宋体"/>
                <w:kern w:val="0"/>
                <w:sz w:val="24"/>
                <w:szCs w:val="24"/>
              </w:rPr>
            </w:pPr>
          </w:p>
        </w:tc>
        <w:tc>
          <w:tcPr>
            <w:tcW w:w="315" w:type="pct"/>
            <w:tcBorders>
              <w:top w:val="nil"/>
              <w:left w:val="nil"/>
              <w:bottom w:val="single" w:color="auto" w:sz="4" w:space="0"/>
              <w:right w:val="nil"/>
            </w:tcBorders>
            <w:vAlign w:val="center"/>
          </w:tcPr>
          <w:p>
            <w:pPr>
              <w:rPr>
                <w:rFonts w:ascii="宋体" w:hAnsi="宋体" w:eastAsia="宋体" w:cs="宋体"/>
                <w:kern w:val="0"/>
                <w:sz w:val="22"/>
              </w:rPr>
            </w:pPr>
          </w:p>
        </w:tc>
        <w:tc>
          <w:tcPr>
            <w:tcW w:w="315" w:type="pct"/>
            <w:tcBorders>
              <w:top w:val="nil"/>
              <w:left w:val="nil"/>
              <w:bottom w:val="single" w:color="auto" w:sz="4" w:space="0"/>
              <w:right w:val="nil"/>
            </w:tcBorders>
            <w:vAlign w:val="center"/>
          </w:tcPr>
          <w:p>
            <w:pPr>
              <w:rPr>
                <w:rFonts w:ascii="宋体" w:hAnsi="宋体" w:eastAsia="宋体" w:cs="宋体"/>
                <w:kern w:val="0"/>
                <w:sz w:val="22"/>
              </w:rPr>
            </w:pPr>
          </w:p>
        </w:tc>
        <w:tc>
          <w:tcPr>
            <w:tcW w:w="315" w:type="pct"/>
            <w:tcBorders>
              <w:top w:val="nil"/>
              <w:left w:val="nil"/>
              <w:bottom w:val="single" w:color="auto" w:sz="4" w:space="0"/>
              <w:right w:val="nil"/>
            </w:tcBorders>
            <w:vAlign w:val="center"/>
          </w:tcPr>
          <w:p>
            <w:pPr>
              <w:rPr>
                <w:rFonts w:ascii="宋体" w:hAnsi="宋体" w:eastAsia="宋体" w:cs="宋体"/>
                <w:kern w:val="0"/>
                <w:sz w:val="22"/>
              </w:rPr>
            </w:pPr>
          </w:p>
        </w:tc>
        <w:tc>
          <w:tcPr>
            <w:tcW w:w="315" w:type="pct"/>
            <w:tcBorders>
              <w:top w:val="nil"/>
              <w:left w:val="nil"/>
              <w:bottom w:val="single" w:color="auto" w:sz="4" w:space="0"/>
              <w:right w:val="nil"/>
            </w:tcBorders>
            <w:vAlign w:val="center"/>
          </w:tcPr>
          <w:p>
            <w:pPr>
              <w:rPr>
                <w:rFonts w:ascii="宋体" w:hAnsi="宋体" w:eastAsia="宋体" w:cs="宋体"/>
                <w:kern w:val="0"/>
                <w:sz w:val="22"/>
              </w:rPr>
            </w:pPr>
          </w:p>
        </w:tc>
        <w:tc>
          <w:tcPr>
            <w:tcW w:w="315" w:type="pct"/>
            <w:tcBorders>
              <w:top w:val="nil"/>
              <w:left w:val="nil"/>
              <w:bottom w:val="single" w:color="auto" w:sz="4" w:space="0"/>
              <w:right w:val="nil"/>
            </w:tcBorders>
            <w:shd w:val="clear" w:color="auto" w:fill="auto"/>
            <w:noWrap/>
            <w:vAlign w:val="center"/>
          </w:tcPr>
          <w:p>
            <w:pPr>
              <w:rPr>
                <w:rFonts w:ascii="宋体" w:hAnsi="宋体" w:eastAsia="宋体" w:cs="宋体"/>
                <w:kern w:val="0"/>
                <w:sz w:val="22"/>
              </w:rPr>
            </w:pPr>
          </w:p>
        </w:tc>
        <w:tc>
          <w:tcPr>
            <w:tcW w:w="315" w:type="pct"/>
            <w:tcBorders>
              <w:top w:val="nil"/>
              <w:left w:val="nil"/>
              <w:bottom w:val="single" w:color="auto" w:sz="4" w:space="0"/>
              <w:right w:val="nil"/>
            </w:tcBorders>
            <w:shd w:val="clear" w:color="auto" w:fill="auto"/>
            <w:noWrap/>
            <w:vAlign w:val="center"/>
          </w:tcPr>
          <w:p/>
        </w:tc>
        <w:tc>
          <w:tcPr>
            <w:tcW w:w="393" w:type="pct"/>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单位：万元</w:t>
            </w:r>
          </w:p>
        </w:tc>
      </w:tr>
      <w:tr>
        <w:tblPrEx>
          <w:tblCellMar>
            <w:top w:w="0" w:type="dxa"/>
            <w:left w:w="108" w:type="dxa"/>
            <w:bottom w:w="0" w:type="dxa"/>
            <w:right w:w="108" w:type="dxa"/>
          </w:tblCellMar>
        </w:tblPrEx>
        <w:trPr>
          <w:trHeight w:val="1237" w:hRule="atLeast"/>
        </w:trPr>
        <w:tc>
          <w:tcPr>
            <w:tcW w:w="61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22"/>
              </w:rPr>
            </w:pPr>
            <w:r>
              <w:rPr>
                <w:rFonts w:ascii="宋体" w:hAnsi="宋体" w:eastAsia="宋体" w:cs="宋体"/>
                <w:i w:val="0"/>
                <w:iCs w:val="0"/>
                <w:color w:val="000000"/>
                <w:kern w:val="0"/>
                <w:sz w:val="18"/>
                <w:szCs w:val="18"/>
                <w:u w:val="none"/>
                <w:lang w:val="en-US" w:eastAsia="zh-CN" w:bidi="ar"/>
              </w:rPr>
              <w:t>科目编码</w:t>
            </w:r>
          </w:p>
        </w:tc>
        <w:tc>
          <w:tcPr>
            <w:tcW w:w="84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科目名称</w:t>
            </w:r>
          </w:p>
        </w:tc>
        <w:tc>
          <w:tcPr>
            <w:tcW w:w="3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总计</w:t>
            </w:r>
          </w:p>
        </w:tc>
        <w:tc>
          <w:tcPr>
            <w:tcW w:w="3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一般公共预算拨款收入</w:t>
            </w:r>
          </w:p>
        </w:tc>
        <w:tc>
          <w:tcPr>
            <w:tcW w:w="31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政府性基金预算拨款收入</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国有资本经营预算拨款收入</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财政专户管理资金收入</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事业收入</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事业单位经营收入</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上级补助收入</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附属单位上缴收入</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其他收入</w:t>
            </w:r>
          </w:p>
        </w:tc>
        <w:tc>
          <w:tcPr>
            <w:tcW w:w="39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上年结转结余</w:t>
            </w:r>
          </w:p>
        </w:tc>
      </w:tr>
      <w:tr>
        <w:tblPrEx>
          <w:tblCellMar>
            <w:top w:w="0" w:type="dxa"/>
            <w:left w:w="108" w:type="dxa"/>
            <w:bottom w:w="0" w:type="dxa"/>
            <w:right w:w="108" w:type="dxa"/>
          </w:tblCellMar>
        </w:tblPrEx>
        <w:trPr>
          <w:trHeight w:val="402" w:hRule="atLeast"/>
        </w:trPr>
        <w:tc>
          <w:tcPr>
            <w:tcW w:w="61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kern w:val="0"/>
                <w:sz w:val="22"/>
              </w:rPr>
            </w:pPr>
            <w:r>
              <w:rPr>
                <w:rFonts w:ascii="宋体" w:hAnsi="宋体" w:eastAsia="宋体" w:cs="宋体"/>
                <w:i w:val="0"/>
                <w:iCs w:val="0"/>
                <w:color w:val="000000"/>
                <w:kern w:val="0"/>
                <w:sz w:val="18"/>
                <w:szCs w:val="18"/>
                <w:u w:val="none"/>
                <w:lang w:val="en-US" w:eastAsia="zh-CN" w:bidi="ar"/>
              </w:rPr>
              <w:t>1</w:t>
            </w:r>
          </w:p>
        </w:tc>
        <w:tc>
          <w:tcPr>
            <w:tcW w:w="84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w:t>
            </w:r>
          </w:p>
        </w:tc>
        <w:tc>
          <w:tcPr>
            <w:tcW w:w="31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w:t>
            </w:r>
          </w:p>
        </w:tc>
        <w:tc>
          <w:tcPr>
            <w:tcW w:w="3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w:t>
            </w:r>
          </w:p>
        </w:tc>
        <w:tc>
          <w:tcPr>
            <w:tcW w:w="31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6</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9</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11</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w:t>
            </w:r>
          </w:p>
        </w:tc>
        <w:tc>
          <w:tcPr>
            <w:tcW w:w="39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13</w:t>
            </w:r>
          </w:p>
        </w:tc>
      </w:tr>
      <w:tr>
        <w:tblPrEx>
          <w:tblCellMar>
            <w:top w:w="0" w:type="dxa"/>
            <w:left w:w="108" w:type="dxa"/>
            <w:bottom w:w="0" w:type="dxa"/>
            <w:right w:w="108" w:type="dxa"/>
          </w:tblCellMar>
        </w:tblPrEx>
        <w:trPr>
          <w:trHeight w:val="402" w:hRule="atLeast"/>
        </w:trPr>
        <w:tc>
          <w:tcPr>
            <w:tcW w:w="616"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合计</w:t>
            </w:r>
          </w:p>
        </w:tc>
        <w:tc>
          <w:tcPr>
            <w:tcW w:w="840"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p>
        </w:tc>
        <w:tc>
          <w:tcPr>
            <w:tcW w:w="3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197.83</w:t>
            </w:r>
          </w:p>
        </w:tc>
        <w:tc>
          <w:tcPr>
            <w:tcW w:w="3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197.83</w:t>
            </w:r>
          </w:p>
        </w:tc>
        <w:tc>
          <w:tcPr>
            <w:tcW w:w="314" w:type="pct"/>
            <w:tcBorders>
              <w:top w:val="single" w:color="auto" w:sz="4" w:space="0"/>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pPr>
          </w:p>
        </w:tc>
        <w:tc>
          <w:tcPr>
            <w:tcW w:w="393"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616"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w:t>
            </w:r>
          </w:p>
        </w:tc>
        <w:tc>
          <w:tcPr>
            <w:tcW w:w="84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一般公共服务支出</w:t>
            </w:r>
          </w:p>
        </w:tc>
        <w:tc>
          <w:tcPr>
            <w:tcW w:w="3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197.83</w:t>
            </w:r>
          </w:p>
        </w:tc>
        <w:tc>
          <w:tcPr>
            <w:tcW w:w="3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197.83</w:t>
            </w:r>
          </w:p>
        </w:tc>
        <w:tc>
          <w:tcPr>
            <w:tcW w:w="314" w:type="pct"/>
            <w:tcBorders>
              <w:top w:val="single" w:color="auto" w:sz="4" w:space="0"/>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pPr>
          </w:p>
        </w:tc>
        <w:tc>
          <w:tcPr>
            <w:tcW w:w="393" w:type="pct"/>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61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20113</w:t>
            </w:r>
          </w:p>
        </w:tc>
        <w:tc>
          <w:tcPr>
            <w:tcW w:w="8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商贸事务</w:t>
            </w:r>
          </w:p>
        </w:tc>
        <w:tc>
          <w:tcPr>
            <w:tcW w:w="31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197.83</w:t>
            </w:r>
          </w:p>
        </w:tc>
        <w:tc>
          <w:tcPr>
            <w:tcW w:w="31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197.83</w:t>
            </w:r>
          </w:p>
        </w:tc>
        <w:tc>
          <w:tcPr>
            <w:tcW w:w="314" w:type="pct"/>
            <w:tcBorders>
              <w:top w:val="single" w:color="auto" w:sz="4" w:space="0"/>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315"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393"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bl>
    <w:p>
      <w:pPr>
        <w:tabs>
          <w:tab w:val="left" w:pos="7513"/>
        </w:tabs>
        <w:spacing w:line="300" w:lineRule="auto"/>
        <w:ind w:firstLine="420" w:firstLineChars="200"/>
        <w:jc w:val="left"/>
        <w:rPr>
          <w:rFonts w:ascii="楷体" w:hAnsi="楷体" w:eastAsia="楷体" w:cs="Times New Roman"/>
          <w:kern w:val="0"/>
          <w:szCs w:val="21"/>
        </w:rPr>
      </w:pPr>
    </w:p>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snapToGrid/>
        <w:spacing w:line="276" w:lineRule="auto"/>
        <w:rPr>
          <w:rFonts w:cs="Times New Roman" w:asciiTheme="majorEastAsia" w:hAnsiTheme="majorEastAsia" w:eastAsiaTheme="majorEastAsia"/>
          <w:kern w:val="2"/>
          <w:sz w:val="36"/>
          <w:szCs w:val="20"/>
        </w:rPr>
      </w:pPr>
      <w:r>
        <w:rPr>
          <w:rFonts w:cs="Times New Roman" w:asciiTheme="majorEastAsia" w:hAnsiTheme="majorEastAsia" w:eastAsiaTheme="majorEastAsia"/>
          <w:sz w:val="36"/>
          <w:szCs w:val="20"/>
        </w:rPr>
        <w:tab/>
      </w:r>
    </w:p>
    <w:p>
      <w:pPr>
        <w:adjustRightInd/>
        <w:snapToGrid/>
        <w:spacing w:line="276" w:lineRule="auto"/>
        <w:rPr>
          <w:rFonts w:cs="Times New Roman" w:asciiTheme="majorEastAsia" w:hAnsiTheme="majorEastAsia" w:eastAsiaTheme="majorEastAsia"/>
          <w:kern w:val="2"/>
          <w:sz w:val="36"/>
          <w:szCs w:val="20"/>
        </w:rPr>
      </w:pPr>
    </w:p>
    <w:p>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8" w:name="_Toc27650"/>
      <w:r>
        <w:rPr>
          <w:rFonts w:hint="eastAsia" w:ascii="黑体" w:hAnsi="黑体" w:eastAsia="黑体"/>
          <w:sz w:val="32"/>
          <w:szCs w:val="32"/>
        </w:rPr>
        <w:t>三、支出预算总表</w:t>
      </w:r>
      <w:bookmarkEnd w:id="8"/>
    </w:p>
    <w:p>
      <w:pPr>
        <w:tabs>
          <w:tab w:val="left" w:pos="7513"/>
        </w:tabs>
        <w:spacing w:line="300" w:lineRule="auto"/>
        <w:ind w:firstLine="424" w:firstLineChars="202"/>
        <w:jc w:val="left"/>
        <w:rPr>
          <w:rFonts w:ascii="楷体" w:hAnsi="楷体" w:eastAsia="楷体" w:cs="Times New Roman"/>
          <w:kern w:val="0"/>
          <w:szCs w:val="21"/>
        </w:rPr>
      </w:pPr>
    </w:p>
    <w:p>
      <w:pPr>
        <w:tabs>
          <w:tab w:val="left" w:pos="7513"/>
        </w:tabs>
        <w:spacing w:line="300" w:lineRule="auto"/>
        <w:ind w:firstLine="424" w:firstLineChars="202"/>
        <w:jc w:val="left"/>
        <w:rPr>
          <w:rFonts w:ascii="楷体" w:hAnsi="楷体" w:eastAsia="楷体" w:cs="Times New Roman"/>
          <w:kern w:val="0"/>
          <w:szCs w:val="21"/>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0"/>
        <w:gridCol w:w="3212"/>
        <w:gridCol w:w="1210"/>
        <w:gridCol w:w="1210"/>
        <w:gridCol w:w="1210"/>
        <w:gridCol w:w="1347"/>
        <w:gridCol w:w="1395"/>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2"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事业单位经营支出</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上缴上级支出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商贸事务</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2011350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3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7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outlineLvl w:val="1"/>
        <w:rPr>
          <w:rFonts w:ascii="楷体" w:hAnsi="楷体" w:eastAsia="楷体" w:cs="Times New Roman"/>
          <w:kern w:val="0"/>
          <w:sz w:val="36"/>
          <w:szCs w:val="21"/>
        </w:rPr>
      </w:pPr>
      <w:bookmarkStart w:id="9" w:name="_Toc24965"/>
      <w:r>
        <w:rPr>
          <w:rFonts w:hint="eastAsia" w:ascii="黑体" w:hAnsi="黑体" w:eastAsia="黑体"/>
          <w:sz w:val="32"/>
          <w:szCs w:val="32"/>
        </w:rPr>
        <w:t>四、财政拨款收支预算总表</w:t>
      </w:r>
      <w:bookmarkEnd w:id="9"/>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77"/>
        <w:gridCol w:w="1372"/>
        <w:gridCol w:w="2753"/>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2024年度财政拨款收支预算总表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7"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376"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2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r>
    </w:tbl>
    <w:p>
      <w:pPr>
        <w:tabs>
          <w:tab w:val="left" w:pos="7513"/>
        </w:tabs>
        <w:spacing w:line="300" w:lineRule="auto"/>
        <w:ind w:firstLine="720" w:firstLineChars="200"/>
        <w:jc w:val="left"/>
        <w:rPr>
          <w:rFonts w:ascii="楷体" w:hAnsi="楷体" w:eastAsia="楷体" w:cs="Times New Roman"/>
          <w:kern w:val="0"/>
          <w:sz w:val="36"/>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10" w:name="_Toc12695"/>
      <w:r>
        <w:rPr>
          <w:rFonts w:hint="eastAsia" w:ascii="黑体" w:hAnsi="黑体" w:eastAsia="黑体"/>
          <w:sz w:val="32"/>
          <w:szCs w:val="32"/>
        </w:rPr>
        <w:t>五、一般公共预算拨款支出预算表</w:t>
      </w:r>
      <w:bookmarkEnd w:id="10"/>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9"/>
        <w:gridCol w:w="3663"/>
        <w:gridCol w:w="1142"/>
        <w:gridCol w:w="1040"/>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2024年度一般公共预算拨款支出预算表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7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1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商贸事务</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2011350</w:t>
            </w:r>
          </w:p>
        </w:tc>
        <w:tc>
          <w:tcPr>
            <w:tcW w:w="2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197.83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7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tabs>
          <w:tab w:val="left" w:pos="7513"/>
        </w:tabs>
        <w:adjustRightInd w:val="0"/>
        <w:snapToGrid w:val="0"/>
        <w:spacing w:line="600" w:lineRule="exact"/>
        <w:outlineLvl w:val="1"/>
        <w:rPr>
          <w:rFonts w:ascii="黑体" w:hAnsi="黑体" w:eastAsia="黑体"/>
          <w:sz w:val="32"/>
          <w:szCs w:val="32"/>
        </w:rPr>
      </w:pPr>
      <w:bookmarkStart w:id="11" w:name="_Toc31430"/>
      <w:r>
        <w:rPr>
          <w:rFonts w:hint="eastAsia" w:ascii="黑体" w:hAnsi="黑体" w:eastAsia="黑体"/>
          <w:sz w:val="32"/>
          <w:szCs w:val="32"/>
        </w:rPr>
        <w:t>六、政府性基金预算拨款支出预算表</w:t>
      </w:r>
      <w:bookmarkEnd w:id="11"/>
    </w:p>
    <w:tbl>
      <w:tblPr>
        <w:tblStyle w:val="8"/>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2024年度</w:t>
            </w:r>
            <w:r>
              <w:rPr>
                <w:rFonts w:hint="eastAsia" w:ascii="方正小标宋简体" w:hAnsi="宋体" w:eastAsia="方正小标宋简体" w:cs="宋体"/>
                <w:kern w:val="0"/>
                <w:sz w:val="32"/>
                <w:szCs w:val="32"/>
              </w:rPr>
              <w:t>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472" w:firstLineChars="225"/>
        <w:rPr>
          <w:rFonts w:hint="eastAsia" w:ascii="楷体" w:hAnsi="楷体" w:eastAsia="楷体" w:cs="Times New Roman"/>
          <w:kern w:val="0"/>
          <w:szCs w:val="21"/>
        </w:rPr>
      </w:pPr>
      <w:r>
        <w:rPr>
          <w:rFonts w:hint="eastAsia" w:ascii="楷体" w:hAnsi="楷体" w:eastAsia="楷体" w:cs="Times New Roman"/>
          <w:kern w:val="0"/>
          <w:szCs w:val="21"/>
        </w:rPr>
        <w:t>备注：本部门</w:t>
      </w:r>
      <w:r>
        <w:rPr>
          <w:rFonts w:hint="eastAsia" w:ascii="楷体" w:hAnsi="楷体" w:eastAsia="楷体" w:cs="Times New Roman"/>
          <w:kern w:val="0"/>
          <w:szCs w:val="21"/>
          <w:lang w:eastAsia="zh-CN"/>
        </w:rPr>
        <w:t>2024年度</w:t>
      </w:r>
      <w:r>
        <w:rPr>
          <w:rFonts w:hint="eastAsia" w:ascii="楷体" w:hAnsi="楷体" w:eastAsia="楷体" w:cs="Times New Roman"/>
          <w:kern w:val="0"/>
          <w:szCs w:val="21"/>
        </w:rPr>
        <w:t>没有使用政府性基金预算拨款安排的支出。</w:t>
      </w:r>
    </w:p>
    <w:p>
      <w:pPr>
        <w:tabs>
          <w:tab w:val="left" w:pos="7513"/>
        </w:tabs>
        <w:adjustRightInd w:val="0"/>
        <w:snapToGrid w:val="0"/>
        <w:spacing w:line="300" w:lineRule="auto"/>
        <w:ind w:firstLine="403" w:firstLineChars="126"/>
        <w:outlineLvl w:val="1"/>
        <w:rPr>
          <w:rFonts w:ascii="黑体" w:hAnsi="黑体" w:eastAsia="黑体"/>
          <w:sz w:val="32"/>
          <w:szCs w:val="32"/>
        </w:rPr>
      </w:pPr>
      <w:bookmarkStart w:id="12" w:name="_Toc20858"/>
      <w:r>
        <w:rPr>
          <w:rFonts w:hint="eastAsia" w:ascii="黑体" w:hAnsi="黑体" w:eastAsia="黑体"/>
          <w:sz w:val="32"/>
          <w:szCs w:val="32"/>
        </w:rPr>
        <w:t>七、国有资本经营预算拨款支出预算表</w:t>
      </w:r>
      <w:bookmarkEnd w:id="12"/>
    </w:p>
    <w:tbl>
      <w:tblPr>
        <w:tblStyle w:val="8"/>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2024年度</w:t>
            </w:r>
            <w:r>
              <w:rPr>
                <w:rFonts w:hint="eastAsia" w:ascii="方正小标宋简体" w:hAnsi="宋体" w:eastAsia="方正小标宋简体" w:cs="宋体"/>
                <w:kern w:val="0"/>
                <w:sz w:val="32"/>
                <w:szCs w:val="32"/>
              </w:rPr>
              <w:t>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Cs w:val="21"/>
        </w:rPr>
        <w:t>备注：本部门</w:t>
      </w:r>
      <w:r>
        <w:rPr>
          <w:rFonts w:hint="eastAsia" w:ascii="楷体" w:hAnsi="楷体" w:eastAsia="楷体" w:cs="Times New Roman"/>
          <w:kern w:val="0"/>
          <w:szCs w:val="21"/>
          <w:lang w:eastAsia="zh-CN"/>
        </w:rPr>
        <w:t>2024年度</w:t>
      </w:r>
      <w:r>
        <w:rPr>
          <w:rFonts w:hint="eastAsia" w:ascii="楷体" w:hAnsi="楷体" w:eastAsia="楷体" w:cs="Times New Roman"/>
          <w:kern w:val="0"/>
          <w:szCs w:val="21"/>
        </w:rPr>
        <w:t>没有使用国有资本经营预算拨款安排的支出。</w:t>
      </w:r>
    </w:p>
    <w:p>
      <w:pPr>
        <w:tabs>
          <w:tab w:val="left" w:pos="7513"/>
        </w:tabs>
        <w:adjustRightInd w:val="0"/>
        <w:snapToGrid w:val="0"/>
        <w:spacing w:line="600" w:lineRule="exact"/>
        <w:outlineLvl w:val="1"/>
        <w:rPr>
          <w:rFonts w:ascii="黑体" w:hAnsi="黑体" w:eastAsia="黑体"/>
          <w:sz w:val="32"/>
          <w:szCs w:val="32"/>
        </w:rPr>
      </w:pPr>
      <w:bookmarkStart w:id="13" w:name="_Toc23368"/>
      <w:r>
        <w:rPr>
          <w:rFonts w:hint="eastAsia" w:ascii="黑体" w:hAnsi="黑体" w:eastAsia="黑体"/>
          <w:sz w:val="32"/>
          <w:szCs w:val="32"/>
        </w:rPr>
        <w:t>八、一般公共预算支出经济分类情况表</w:t>
      </w:r>
      <w:bookmarkEnd w:id="13"/>
    </w:p>
    <w:tbl>
      <w:tblPr>
        <w:tblStyle w:val="8"/>
        <w:tblW w:w="5000" w:type="pct"/>
        <w:tblInd w:w="0" w:type="dxa"/>
        <w:tblLayout w:type="autofit"/>
        <w:tblCellMar>
          <w:top w:w="0" w:type="dxa"/>
          <w:left w:w="108" w:type="dxa"/>
          <w:bottom w:w="0" w:type="dxa"/>
          <w:right w:w="108" w:type="dxa"/>
        </w:tblCellMar>
      </w:tblPr>
      <w:tblGrid>
        <w:gridCol w:w="1501"/>
        <w:gridCol w:w="4379"/>
        <w:gridCol w:w="2642"/>
      </w:tblGrid>
      <w:tr>
        <w:tblPrEx>
          <w:tblCellMar>
            <w:top w:w="0" w:type="dxa"/>
            <w:left w:w="108" w:type="dxa"/>
            <w:bottom w:w="0" w:type="dxa"/>
            <w:right w:w="108" w:type="dxa"/>
          </w:tblCellMar>
        </w:tblPrEx>
        <w:trPr>
          <w:trHeight w:val="743" w:hRule="atLeast"/>
        </w:trPr>
        <w:tc>
          <w:tcPr>
            <w:tcW w:w="5000" w:type="pct"/>
            <w:gridSpan w:val="3"/>
            <w:tcBorders>
              <w:top w:val="nil"/>
              <w:left w:val="nil"/>
              <w:bottom w:val="nil"/>
              <w:right w:val="nil"/>
            </w:tcBorders>
            <w:shd w:val="clear" w:color="000000" w:fill="FFFFFF"/>
            <w:noWrap/>
            <w:vAlign w:val="center"/>
          </w:tcPr>
          <w:p>
            <w:pPr>
              <w:keepNext w:val="0"/>
              <w:keepLines w:val="0"/>
              <w:widowControl/>
              <w:suppressLineNumbers w:val="0"/>
              <w:jc w:val="center"/>
              <w:textAlignment w:val="center"/>
              <w:rPr>
                <w:rFonts w:ascii="方正小标宋简体" w:hAnsi="宋体" w:eastAsia="方正小标宋简体" w:cs="宋体"/>
                <w:kern w:val="0"/>
                <w:sz w:val="32"/>
                <w:szCs w:val="32"/>
              </w:rPr>
            </w:pPr>
            <w:r>
              <w:rPr>
                <w:rFonts w:ascii="宋体" w:hAnsi="宋体" w:eastAsia="宋体" w:cs="宋体"/>
                <w:i w:val="0"/>
                <w:iCs w:val="0"/>
                <w:color w:val="000000"/>
                <w:kern w:val="0"/>
                <w:sz w:val="30"/>
                <w:szCs w:val="30"/>
                <w:u w:val="none"/>
                <w:lang w:val="en-US" w:eastAsia="zh-CN" w:bidi="ar"/>
              </w:rPr>
              <w:t>2024年度一般公共预算支出经济分类情况表</w:t>
            </w:r>
          </w:p>
        </w:tc>
      </w:tr>
      <w:tr>
        <w:tblPrEx>
          <w:tblCellMar>
            <w:top w:w="0" w:type="dxa"/>
            <w:left w:w="108" w:type="dxa"/>
            <w:bottom w:w="0" w:type="dxa"/>
            <w:right w:w="108" w:type="dxa"/>
          </w:tblCellMar>
        </w:tblPrEx>
        <w:trPr>
          <w:trHeight w:val="360" w:hRule="atLeast"/>
        </w:trPr>
        <w:tc>
          <w:tcPr>
            <w:tcW w:w="881" w:type="pct"/>
            <w:tcBorders>
              <w:top w:val="nil"/>
              <w:left w:val="nil"/>
              <w:bottom w:val="nil"/>
              <w:right w:val="nil"/>
            </w:tcBorders>
            <w:shd w:val="clear" w:color="000000" w:fill="FFFFFF"/>
            <w:noWrap/>
            <w:vAlign w:val="center"/>
          </w:tcPr>
          <w:p>
            <w:pPr>
              <w:rPr>
                <w:rFonts w:ascii="宋体" w:hAnsi="宋体" w:eastAsia="宋体" w:cs="宋体"/>
                <w:color w:val="000000"/>
                <w:kern w:val="0"/>
                <w:sz w:val="20"/>
                <w:szCs w:val="20"/>
              </w:rPr>
            </w:pPr>
          </w:p>
        </w:tc>
        <w:tc>
          <w:tcPr>
            <w:tcW w:w="2569" w:type="pct"/>
            <w:tcBorders>
              <w:top w:val="nil"/>
              <w:left w:val="nil"/>
              <w:bottom w:val="nil"/>
              <w:right w:val="nil"/>
            </w:tcBorders>
            <w:shd w:val="clear" w:color="auto" w:fill="auto"/>
            <w:noWrap/>
            <w:vAlign w:val="center"/>
          </w:tcPr>
          <w:p>
            <w:pPr>
              <w:rPr>
                <w:rFonts w:ascii="宋体" w:hAnsi="宋体" w:eastAsia="宋体" w:cs="宋体"/>
                <w:kern w:val="0"/>
                <w:sz w:val="20"/>
                <w:szCs w:val="20"/>
              </w:rPr>
            </w:pPr>
          </w:p>
        </w:tc>
        <w:tc>
          <w:tcPr>
            <w:tcW w:w="1549" w:type="pct"/>
            <w:tcBorders>
              <w:top w:val="nil"/>
              <w:left w:val="nil"/>
              <w:bottom w:val="nil"/>
              <w:right w:val="nil"/>
            </w:tcBorders>
            <w:shd w:val="clear" w:color="000000" w:fill="FFFFFF"/>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单位：万元</w:t>
            </w:r>
          </w:p>
        </w:tc>
      </w:tr>
      <w:tr>
        <w:tblPrEx>
          <w:tblCellMar>
            <w:top w:w="0" w:type="dxa"/>
            <w:left w:w="108" w:type="dxa"/>
            <w:bottom w:w="0" w:type="dxa"/>
            <w:right w:w="108" w:type="dxa"/>
          </w:tblCellMar>
        </w:tblPrEx>
        <w:trPr>
          <w:trHeight w:val="630"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科目编码</w:t>
            </w:r>
          </w:p>
        </w:tc>
        <w:tc>
          <w:tcPr>
            <w:tcW w:w="256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科目名称</w:t>
            </w:r>
          </w:p>
        </w:tc>
        <w:tc>
          <w:tcPr>
            <w:tcW w:w="1549" w:type="pct"/>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预算数</w:t>
            </w:r>
          </w:p>
        </w:tc>
      </w:tr>
      <w:tr>
        <w:tblPrEx>
          <w:tblCellMar>
            <w:top w:w="0" w:type="dxa"/>
            <w:left w:w="108" w:type="dxa"/>
            <w:bottom w:w="0" w:type="dxa"/>
            <w:right w:w="108" w:type="dxa"/>
          </w:tblCellMar>
        </w:tblPrEx>
        <w:trPr>
          <w:trHeight w:val="402"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1</w:t>
            </w:r>
          </w:p>
        </w:tc>
        <w:tc>
          <w:tcPr>
            <w:tcW w:w="256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2</w:t>
            </w:r>
          </w:p>
        </w:tc>
        <w:tc>
          <w:tcPr>
            <w:tcW w:w="154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合计</w:t>
            </w:r>
          </w:p>
        </w:tc>
        <w:tc>
          <w:tcPr>
            <w:tcW w:w="2569" w:type="pct"/>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kern w:val="0"/>
                <w:sz w:val="20"/>
                <w:szCs w:val="20"/>
              </w:rPr>
            </w:pPr>
          </w:p>
        </w:tc>
        <w:tc>
          <w:tcPr>
            <w:tcW w:w="1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197.83</w:t>
            </w: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301</w:t>
            </w:r>
          </w:p>
        </w:tc>
        <w:tc>
          <w:tcPr>
            <w:tcW w:w="25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工资福利支出</w:t>
            </w:r>
          </w:p>
        </w:tc>
        <w:tc>
          <w:tcPr>
            <w:tcW w:w="1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153.63</w:t>
            </w: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302</w:t>
            </w:r>
          </w:p>
        </w:tc>
        <w:tc>
          <w:tcPr>
            <w:tcW w:w="25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商品和服务支出</w:t>
            </w:r>
          </w:p>
        </w:tc>
        <w:tc>
          <w:tcPr>
            <w:tcW w:w="1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42.95</w:t>
            </w: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303</w:t>
            </w:r>
          </w:p>
        </w:tc>
        <w:tc>
          <w:tcPr>
            <w:tcW w:w="25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对个人和家庭的补助</w:t>
            </w:r>
          </w:p>
        </w:tc>
        <w:tc>
          <w:tcPr>
            <w:tcW w:w="15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307</w:t>
            </w:r>
          </w:p>
        </w:tc>
        <w:tc>
          <w:tcPr>
            <w:tcW w:w="25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债务利息及费用支出</w:t>
            </w:r>
          </w:p>
        </w:tc>
        <w:tc>
          <w:tcPr>
            <w:tcW w:w="15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309</w:t>
            </w:r>
          </w:p>
        </w:tc>
        <w:tc>
          <w:tcPr>
            <w:tcW w:w="25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资本性支出（基本建设）</w:t>
            </w:r>
          </w:p>
        </w:tc>
        <w:tc>
          <w:tcPr>
            <w:tcW w:w="15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310</w:t>
            </w:r>
          </w:p>
        </w:tc>
        <w:tc>
          <w:tcPr>
            <w:tcW w:w="25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资本性支出</w:t>
            </w:r>
          </w:p>
        </w:tc>
        <w:tc>
          <w:tcPr>
            <w:tcW w:w="1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1.25</w:t>
            </w: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311</w:t>
            </w:r>
          </w:p>
        </w:tc>
        <w:tc>
          <w:tcPr>
            <w:tcW w:w="25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对企业补助（基本建设）</w:t>
            </w:r>
          </w:p>
        </w:tc>
        <w:tc>
          <w:tcPr>
            <w:tcW w:w="15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312</w:t>
            </w:r>
          </w:p>
        </w:tc>
        <w:tc>
          <w:tcPr>
            <w:tcW w:w="25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对企业补助</w:t>
            </w:r>
          </w:p>
        </w:tc>
        <w:tc>
          <w:tcPr>
            <w:tcW w:w="15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313</w:t>
            </w:r>
          </w:p>
        </w:tc>
        <w:tc>
          <w:tcPr>
            <w:tcW w:w="25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对社会保障基金补助</w:t>
            </w:r>
          </w:p>
        </w:tc>
        <w:tc>
          <w:tcPr>
            <w:tcW w:w="154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kern w:val="0"/>
                <w:sz w:val="24"/>
                <w:szCs w:val="24"/>
              </w:rPr>
            </w:pPr>
          </w:p>
        </w:tc>
      </w:tr>
    </w:tbl>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14" w:name="_Toc26124"/>
      <w:r>
        <w:rPr>
          <w:rFonts w:hint="eastAsia" w:ascii="黑体" w:hAnsi="黑体" w:eastAsia="黑体"/>
          <w:sz w:val="32"/>
          <w:szCs w:val="32"/>
        </w:rPr>
        <w:t>九、一般公共预算基本支出经济分类情况表</w:t>
      </w:r>
      <w:bookmarkEnd w:id="14"/>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6"/>
        <w:gridCol w:w="4428"/>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2024年度一般公共预算基本支出经济分类情况表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7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伙食补助费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职业年金缴费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咨询费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手续费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物业管理费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专用材料费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被装购置费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专用燃料费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工会经费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30240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税金及附加费用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离休费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退职（役）费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生活补助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救济费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助学金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奖励金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个人农业生产补贴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代缴社会保险费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其他对个人和家庭的补助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债务利息及费用支出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国内债务付息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国外债务付息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国内债务发行费用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国外债务发行费用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资本性支出（基本建设）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其他基本建设支出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土地补偿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安置补助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地上附着物和青苗补偿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拆迁补偿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对企业补助（基本建设）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资本金注入（基本建设）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31201</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政府投资基金股权投资</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31205</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利息补贴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31206</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对社会保障基金补助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31302</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对社会保险基金补助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31303</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补充全国社会保障基金</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31304</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对机关事业单位职业年金的补助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39907</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国家赔偿费用支出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39908</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对民间非营利组织和群众性自治组织补贴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经常性赠与</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39910</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资本性赠与</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39999</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outlineLvl w:val="1"/>
        <w:rPr>
          <w:rFonts w:ascii="黑体" w:hAnsi="黑体" w:eastAsia="黑体"/>
          <w:sz w:val="32"/>
          <w:szCs w:val="32"/>
        </w:rPr>
      </w:pPr>
      <w:bookmarkStart w:id="15" w:name="_Toc5994"/>
      <w:r>
        <w:rPr>
          <w:rFonts w:hint="eastAsia" w:ascii="黑体" w:hAnsi="黑体" w:eastAsia="黑体"/>
          <w:sz w:val="32"/>
          <w:szCs w:val="32"/>
        </w:rPr>
        <w:t>十、一般公共预算“三公”经费支出预算表</w:t>
      </w:r>
      <w:bookmarkEnd w:id="15"/>
    </w:p>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5"/>
        <w:gridCol w:w="3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2024年度一般公共预算“三公”经费支出预算表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6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1、因公出国（境）费用</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2、公务接待费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3、公务用车购置及运行费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其中：（1）公务用车购置费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（2）公务用车运行费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bl>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sz w:val="32"/>
          <w:szCs w:val="32"/>
        </w:rPr>
      </w:pPr>
      <w:bookmarkStart w:id="16" w:name="_Toc28610"/>
      <w:r>
        <w:rPr>
          <w:rFonts w:hint="eastAsia" w:ascii="黑体" w:hAnsi="黑体" w:eastAsia="黑体"/>
          <w:sz w:val="32"/>
          <w:szCs w:val="32"/>
        </w:rPr>
        <w:t>十一、部门专项资金管理清单目录</w:t>
      </w:r>
      <w:bookmarkEnd w:id="16"/>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1301"/>
        <w:gridCol w:w="2302"/>
        <w:gridCol w:w="513"/>
        <w:gridCol w:w="1797"/>
        <w:gridCol w:w="2410"/>
        <w:gridCol w:w="757"/>
        <w:gridCol w:w="935"/>
        <w:gridCol w:w="819"/>
        <w:gridCol w:w="862"/>
        <w:gridCol w:w="853"/>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2024年度部门专项资金管理清单目录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3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主管部门名称</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专项资金立项项目名称</w:t>
            </w: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执行年限</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实施规划</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总体绩效目标</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支出级次</w:t>
            </w:r>
          </w:p>
        </w:tc>
        <w:tc>
          <w:tcPr>
            <w:tcW w:w="12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资金拼盘</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资金分配办法及支出标准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福州市鼓楼区商务局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招商专项经费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lt;福州市招商落地深化攻坚行动方案的通知&gt;榕政办[2023]19号的工作要求，完成市里下达的招商项目任务目标、编制印刷招商宣传画册和政策汇编、开展外出招商活动、接待到访客商、举办招商相关论坛活动等。</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招商经费30万元，其中包含：招商接待，差旅，招商推介会，招商宣传画册印制、招商活动宣传等支出。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完成省、市、区下达的各项招商任务，确保招商引资工作成效在全市排名前列。     </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项目法</w:t>
            </w:r>
          </w:p>
        </w:tc>
      </w:tr>
    </w:tbl>
    <w:p>
      <w:pPr>
        <w:tabs>
          <w:tab w:val="left" w:pos="798"/>
        </w:tabs>
        <w:spacing w:line="240" w:lineRule="auto"/>
        <w:ind w:firstLine="720" w:firstLineChars="200"/>
        <w:jc w:val="center"/>
        <w:rPr>
          <w:rFonts w:ascii="楷体" w:hAnsi="楷体" w:eastAsia="楷体"/>
          <w:sz w:val="36"/>
          <w:szCs w:val="36"/>
          <w:lang w:eastAsia="zh-CN"/>
        </w:rPr>
      </w:pPr>
    </w:p>
    <w:p>
      <w:pPr>
        <w:tabs>
          <w:tab w:val="left" w:pos="798"/>
        </w:tabs>
        <w:spacing w:line="240" w:lineRule="auto"/>
        <w:ind w:firstLine="720" w:firstLineChars="200"/>
        <w:jc w:val="center"/>
        <w:rPr>
          <w:rFonts w:ascii="楷体" w:hAnsi="楷体" w:eastAsia="楷体"/>
          <w:sz w:val="36"/>
          <w:szCs w:val="36"/>
          <w:lang w:eastAsia="zh-CN"/>
        </w:rPr>
        <w:sectPr>
          <w:pgSz w:w="16838" w:h="11906" w:orient="landscape"/>
          <w:pgMar w:top="1800" w:right="1440" w:bottom="1800" w:left="1440" w:header="851" w:footer="992" w:gutter="0"/>
          <w:cols w:space="425" w:num="1"/>
          <w:docGrid w:type="lines" w:linePitch="312" w:charSpace="0"/>
        </w:sect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outlineLvl w:val="0"/>
        <w:rPr>
          <w:rFonts w:ascii="黑体" w:hAnsi="黑体" w:eastAsia="黑体"/>
          <w:sz w:val="56"/>
          <w:szCs w:val="36"/>
          <w:lang w:eastAsia="zh-CN"/>
        </w:rPr>
      </w:pPr>
      <w:bookmarkStart w:id="17" w:name="_Toc15632"/>
      <w:r>
        <w:rPr>
          <w:rFonts w:hint="eastAsia" w:ascii="黑体" w:hAnsi="黑体" w:eastAsia="黑体"/>
          <w:sz w:val="56"/>
          <w:szCs w:val="36"/>
          <w:lang w:eastAsia="zh-CN"/>
        </w:rPr>
        <w:t>第三部分</w:t>
      </w:r>
      <w:r>
        <w:rPr>
          <w:rFonts w:ascii="黑体" w:hAnsi="黑体" w:eastAsia="黑体"/>
          <w:sz w:val="56"/>
          <w:szCs w:val="36"/>
          <w:lang w:eastAsia="zh-CN"/>
        </w:rPr>
        <w:t xml:space="preserve"> </w:t>
      </w:r>
      <w:r>
        <w:rPr>
          <w:rFonts w:hint="eastAsia" w:ascii="黑体" w:hAnsi="黑体" w:eastAsia="黑体"/>
          <w:sz w:val="56"/>
          <w:szCs w:val="36"/>
          <w:lang w:val="en-US" w:eastAsia="zh-CN"/>
        </w:rPr>
        <w:t xml:space="preserve"> 2024年度</w:t>
      </w:r>
      <w:r>
        <w:rPr>
          <w:rFonts w:hint="eastAsia" w:ascii="黑体" w:hAnsi="黑体" w:eastAsia="黑体"/>
          <w:sz w:val="56"/>
          <w:szCs w:val="36"/>
          <w:lang w:eastAsia="zh-CN"/>
        </w:rPr>
        <w:t>部门预算情况说明</w:t>
      </w:r>
      <w:bookmarkEnd w:id="17"/>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b w:val="0"/>
          <w:sz w:val="32"/>
          <w:szCs w:val="32"/>
        </w:rPr>
      </w:pPr>
      <w:bookmarkStart w:id="18" w:name="_Toc16148"/>
      <w:r>
        <w:rPr>
          <w:rFonts w:hint="eastAsia" w:ascii="黑体" w:hAnsi="黑体" w:eastAsia="黑体" w:cstheme="minorBidi"/>
          <w:b w:val="0"/>
          <w:kern w:val="2"/>
          <w:sz w:val="32"/>
          <w:szCs w:val="32"/>
          <w:lang w:eastAsia="zh-CN"/>
        </w:rPr>
        <w:t>一、预算收支总体情况</w:t>
      </w:r>
      <w:bookmarkEnd w:id="18"/>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eastAsia="zh-CN"/>
        </w:rPr>
        <w:t>2024年度</w:t>
      </w:r>
      <w:r>
        <w:rPr>
          <w:rFonts w:hint="eastAsia" w:ascii="仿宋" w:hAnsi="仿宋" w:eastAsia="仿宋"/>
          <w:sz w:val="32"/>
          <w:szCs w:val="32"/>
        </w:rPr>
        <w:t>，</w:t>
      </w:r>
      <w:r>
        <w:rPr>
          <w:rFonts w:hint="eastAsia" w:ascii="仿宋" w:hAnsi="仿宋" w:eastAsia="仿宋" w:cs="仿宋_GB2312"/>
          <w:sz w:val="32"/>
          <w:szCs w:val="32"/>
          <w:lang w:eastAsia="zh-CN"/>
        </w:rPr>
        <w:t>鼓楼区招商服务中心</w:t>
      </w:r>
      <w:r>
        <w:rPr>
          <w:rFonts w:hint="eastAsia" w:ascii="仿宋" w:hAnsi="仿宋" w:eastAsia="仿宋"/>
          <w:sz w:val="32"/>
          <w:szCs w:val="32"/>
        </w:rPr>
        <w:t>收入预算为</w:t>
      </w:r>
      <w:r>
        <w:rPr>
          <w:rFonts w:hint="eastAsia" w:ascii="仿宋" w:hAnsi="仿宋" w:eastAsia="仿宋" w:cs="仿宋_GB2312"/>
          <w:sz w:val="32"/>
          <w:szCs w:val="32"/>
        </w:rPr>
        <w:t>197.83</w:t>
      </w:r>
      <w:r>
        <w:rPr>
          <w:rFonts w:hint="eastAsia" w:ascii="仿宋" w:hAnsi="仿宋" w:eastAsia="仿宋"/>
          <w:sz w:val="32"/>
          <w:szCs w:val="32"/>
        </w:rPr>
        <w:t>万元，比上年增加</w:t>
      </w:r>
      <w:r>
        <w:rPr>
          <w:rFonts w:hint="eastAsia" w:ascii="仿宋" w:hAnsi="仿宋" w:eastAsia="仿宋"/>
          <w:sz w:val="32"/>
          <w:szCs w:val="32"/>
          <w:lang w:val="en-US" w:eastAsia="zh-CN"/>
        </w:rPr>
        <w:t>66.6</w:t>
      </w:r>
      <w:r>
        <w:rPr>
          <w:rFonts w:hint="eastAsia" w:ascii="仿宋" w:hAnsi="仿宋" w:eastAsia="仿宋"/>
          <w:sz w:val="32"/>
          <w:szCs w:val="32"/>
        </w:rPr>
        <w:t>万元，主要原因是</w:t>
      </w:r>
      <w:r>
        <w:rPr>
          <w:rFonts w:hint="eastAsia" w:ascii="仿宋" w:hAnsi="仿宋" w:eastAsia="仿宋" w:cs="仿宋_GB2312"/>
          <w:sz w:val="32"/>
          <w:szCs w:val="32"/>
          <w:lang w:eastAsia="zh-CN"/>
        </w:rPr>
        <w:t>机构改革人员变动人员经费增加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rPr>
        <w:t>197.83</w:t>
      </w:r>
      <w:r>
        <w:rPr>
          <w:rFonts w:hint="eastAsia" w:ascii="仿宋" w:hAnsi="仿宋" w:eastAsia="仿宋"/>
          <w:sz w:val="32"/>
          <w:szCs w:val="32"/>
        </w:rPr>
        <w:t>万元、政府性基金预算拨款收入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万元、国有资本经营预算拨款收入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万元、财政专户管理资金收入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万元、事业单位经营收入</w:t>
      </w:r>
      <w:r>
        <w:rPr>
          <w:rFonts w:hint="eastAsia" w:ascii="仿宋" w:hAnsi="仿宋" w:eastAsia="仿宋" w:cs="仿宋_GB2312"/>
          <w:sz w:val="32"/>
          <w:szCs w:val="32"/>
          <w:lang w:val="en-US" w:eastAsia="zh-CN"/>
        </w:rPr>
        <w:t>0</w:t>
      </w:r>
      <w:r>
        <w:rPr>
          <w:rFonts w:hint="eastAsia" w:ascii="仿宋" w:hAnsi="仿宋" w:eastAsia="仿宋"/>
          <w:sz w:val="32"/>
          <w:szCs w:val="32"/>
        </w:rPr>
        <w:t>万元、上级补助收入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万元、附属单位上缴收入</w:t>
      </w:r>
      <w:r>
        <w:rPr>
          <w:rFonts w:hint="eastAsia" w:ascii="仿宋" w:hAnsi="仿宋" w:eastAsia="仿宋" w:cs="仿宋_GB2312"/>
          <w:sz w:val="32"/>
          <w:szCs w:val="32"/>
          <w:lang w:val="en-US" w:eastAsia="zh-CN"/>
        </w:rPr>
        <w:t>0</w:t>
      </w:r>
      <w:r>
        <w:rPr>
          <w:rFonts w:hint="eastAsia" w:ascii="仿宋" w:hAnsi="仿宋" w:eastAsia="仿宋"/>
          <w:sz w:val="32"/>
          <w:szCs w:val="32"/>
        </w:rPr>
        <w:t>元、其他收入</w:t>
      </w:r>
      <w:r>
        <w:rPr>
          <w:rFonts w:hint="eastAsia" w:ascii="仿宋" w:hAnsi="仿宋" w:eastAsia="仿宋" w:cs="仿宋_GB2312"/>
          <w:sz w:val="32"/>
          <w:szCs w:val="32"/>
          <w:lang w:val="en-US" w:eastAsia="zh-CN"/>
        </w:rPr>
        <w:t>0</w:t>
      </w:r>
      <w:r>
        <w:rPr>
          <w:rFonts w:hint="eastAsia" w:ascii="仿宋" w:hAnsi="仿宋" w:eastAsia="仿宋"/>
          <w:sz w:val="32"/>
          <w:szCs w:val="32"/>
        </w:rPr>
        <w:t>万元、上年结转结余</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197.83</w:t>
      </w:r>
      <w:r>
        <w:rPr>
          <w:rFonts w:hint="eastAsia" w:ascii="仿宋" w:hAnsi="仿宋" w:eastAsia="仿宋"/>
          <w:sz w:val="32"/>
          <w:szCs w:val="32"/>
        </w:rPr>
        <w:t>万元，比上年增加</w:t>
      </w:r>
      <w:r>
        <w:rPr>
          <w:rFonts w:hint="eastAsia" w:ascii="仿宋" w:hAnsi="仿宋" w:eastAsia="仿宋"/>
          <w:sz w:val="32"/>
          <w:szCs w:val="32"/>
          <w:lang w:val="en-US" w:eastAsia="zh-CN"/>
        </w:rPr>
        <w:t>66.6</w:t>
      </w:r>
      <w:r>
        <w:rPr>
          <w:rFonts w:hint="eastAsia" w:ascii="仿宋" w:hAnsi="仿宋" w:eastAsia="仿宋"/>
          <w:sz w:val="32"/>
          <w:szCs w:val="32"/>
        </w:rPr>
        <w:t>万元，主要原因是</w:t>
      </w:r>
      <w:r>
        <w:rPr>
          <w:rFonts w:hint="eastAsia" w:ascii="仿宋" w:hAnsi="仿宋" w:eastAsia="仿宋" w:cs="仿宋_GB2312"/>
          <w:sz w:val="32"/>
          <w:szCs w:val="32"/>
          <w:lang w:eastAsia="zh-CN"/>
        </w:rPr>
        <w:t>机构改革人员变动人员经费增加</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rPr>
        <w:t>167.83</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30</w:t>
      </w:r>
      <w:r>
        <w:rPr>
          <w:rFonts w:hint="eastAsia" w:ascii="仿宋" w:hAnsi="仿宋" w:eastAsia="仿宋"/>
          <w:sz w:val="32"/>
          <w:szCs w:val="32"/>
        </w:rPr>
        <w:t>万元、事业单位经营支出</w:t>
      </w:r>
      <w:r>
        <w:rPr>
          <w:rFonts w:hint="eastAsia" w:ascii="仿宋" w:hAnsi="仿宋" w:eastAsia="仿宋" w:cs="仿宋_GB2312"/>
          <w:sz w:val="32"/>
          <w:szCs w:val="32"/>
          <w:lang w:val="en-US" w:eastAsia="zh-CN"/>
        </w:rPr>
        <w:t>0</w:t>
      </w:r>
      <w:r>
        <w:rPr>
          <w:rFonts w:hint="eastAsia" w:ascii="仿宋" w:hAnsi="仿宋" w:eastAsia="仿宋"/>
          <w:sz w:val="32"/>
          <w:szCs w:val="32"/>
        </w:rPr>
        <w:t>万元、上缴上级支出</w:t>
      </w:r>
      <w:r>
        <w:rPr>
          <w:rFonts w:hint="eastAsia" w:ascii="仿宋" w:hAnsi="仿宋" w:eastAsia="仿宋" w:cs="仿宋_GB2312"/>
          <w:sz w:val="32"/>
          <w:szCs w:val="32"/>
          <w:lang w:val="en-US" w:eastAsia="zh-CN"/>
        </w:rPr>
        <w:t>0</w:t>
      </w:r>
      <w:r>
        <w:rPr>
          <w:rFonts w:hint="eastAsia" w:ascii="仿宋" w:hAnsi="仿宋" w:eastAsia="仿宋"/>
          <w:sz w:val="32"/>
          <w:szCs w:val="32"/>
        </w:rPr>
        <w:t>万元、对附属单位补助支出</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outlineLvl w:val="1"/>
        <w:rPr>
          <w:rFonts w:ascii="黑体" w:hAnsi="黑体" w:eastAsia="黑体"/>
          <w:b w:val="0"/>
          <w:sz w:val="32"/>
          <w:szCs w:val="32"/>
        </w:rPr>
      </w:pPr>
      <w:bookmarkStart w:id="19" w:name="_Toc29811"/>
      <w:r>
        <w:rPr>
          <w:rFonts w:hint="eastAsia" w:ascii="黑体" w:hAnsi="黑体" w:eastAsia="黑体" w:cstheme="minorBidi"/>
          <w:b w:val="0"/>
          <w:kern w:val="2"/>
          <w:sz w:val="32"/>
          <w:szCs w:val="32"/>
          <w:lang w:eastAsia="zh-CN"/>
        </w:rPr>
        <w:t>二、一般公共预算拨款支出情况</w:t>
      </w:r>
      <w:bookmarkEnd w:id="1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eastAsia="zh-CN"/>
        </w:rPr>
        <w:t>2024年度</w:t>
      </w:r>
      <w:r>
        <w:rPr>
          <w:rFonts w:hint="eastAsia" w:ascii="仿宋" w:hAnsi="仿宋" w:eastAsia="仿宋" w:cs="仿宋_GB2312"/>
          <w:sz w:val="32"/>
          <w:szCs w:val="32"/>
        </w:rPr>
        <w:t>度一般公共预算拨款支出197.83</w:t>
      </w:r>
      <w:r>
        <w:rPr>
          <w:rFonts w:hint="eastAsia" w:ascii="仿宋" w:hAnsi="仿宋" w:eastAsia="仿宋"/>
          <w:sz w:val="32"/>
          <w:szCs w:val="32"/>
        </w:rPr>
        <w:t>万元，比上年增加</w:t>
      </w:r>
      <w:r>
        <w:rPr>
          <w:rFonts w:hint="eastAsia" w:ascii="仿宋" w:hAnsi="仿宋" w:eastAsia="仿宋"/>
          <w:sz w:val="32"/>
          <w:szCs w:val="32"/>
          <w:lang w:val="en-US" w:eastAsia="zh-CN"/>
        </w:rPr>
        <w:t>66.6</w:t>
      </w:r>
      <w:r>
        <w:rPr>
          <w:rFonts w:hint="eastAsia" w:ascii="仿宋" w:hAnsi="仿宋" w:eastAsia="仿宋"/>
          <w:sz w:val="32"/>
          <w:szCs w:val="32"/>
        </w:rPr>
        <w:t>万元</w:t>
      </w:r>
      <w:r>
        <w:rPr>
          <w:rFonts w:hint="eastAsia" w:ascii="仿宋" w:hAnsi="仿宋" w:eastAsia="仿宋" w:cs="仿宋_GB2312"/>
          <w:kern w:val="0"/>
          <w:sz w:val="32"/>
          <w:szCs w:val="32"/>
        </w:rPr>
        <w:t>，</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33.67</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机构改革人员变动人员经费增加</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。按照党中央、国务院和省委、省政府关于过紧日子的有关要求，厉行节约办一切事业，大力压减一般性支出，重点压减了公用经费和培训等项目支出中涉及的非急需非刚性支出，同时合理保障了</w:t>
      </w:r>
      <w:r>
        <w:rPr>
          <w:rFonts w:hint="eastAsia" w:ascii="仿宋" w:hAnsi="仿宋" w:eastAsia="仿宋" w:cs="仿宋_GB2312"/>
          <w:sz w:val="32"/>
          <w:szCs w:val="32"/>
          <w:lang w:eastAsia="zh-CN"/>
        </w:rPr>
        <w:t>全区</w:t>
      </w:r>
      <w:r>
        <w:rPr>
          <w:rFonts w:hint="eastAsia" w:ascii="仿宋" w:hAnsi="仿宋" w:eastAsia="仿宋"/>
          <w:color w:val="000000"/>
          <w:sz w:val="32"/>
        </w:rPr>
        <w:t>招商引资</w:t>
      </w:r>
      <w:r>
        <w:rPr>
          <w:rFonts w:hint="eastAsia" w:ascii="仿宋" w:hAnsi="仿宋" w:eastAsia="仿宋" w:cs="仿宋_GB2312"/>
          <w:sz w:val="32"/>
          <w:szCs w:val="32"/>
        </w:rPr>
        <w:t>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（一）2011350-事业运行</w:t>
      </w:r>
      <w:r>
        <w:rPr>
          <w:rFonts w:hint="eastAsia" w:ascii="仿宋" w:hAnsi="仿宋" w:eastAsia="仿宋" w:cs="仿宋_GB2312"/>
          <w:sz w:val="32"/>
          <w:szCs w:val="32"/>
          <w:lang w:val="en-US" w:eastAsia="zh-CN"/>
        </w:rPr>
        <w:t>197.83</w:t>
      </w:r>
      <w:r>
        <w:rPr>
          <w:rFonts w:hint="eastAsia" w:ascii="仿宋" w:hAnsi="仿宋" w:eastAsia="仿宋" w:cs="仿宋_GB2312"/>
          <w:sz w:val="32"/>
          <w:szCs w:val="32"/>
        </w:rPr>
        <w:t>万元。主要用于</w:t>
      </w:r>
      <w:r>
        <w:rPr>
          <w:rFonts w:hint="eastAsia" w:ascii="仿宋" w:hAnsi="仿宋" w:eastAsia="仿宋"/>
          <w:sz w:val="32"/>
        </w:rPr>
        <w:t>主要用于招商中心</w:t>
      </w:r>
      <w:r>
        <w:rPr>
          <w:rFonts w:ascii="仿宋" w:hAnsi="仿宋" w:eastAsia="仿宋"/>
          <w:color w:val="000000"/>
          <w:kern w:val="0"/>
          <w:sz w:val="31"/>
        </w:rPr>
        <w:t>人员工资福利以及日常工作事务经费</w:t>
      </w:r>
      <w:r>
        <w:rPr>
          <w:rFonts w:hint="eastAsia" w:ascii="仿宋" w:hAnsi="仿宋" w:eastAsia="仿宋"/>
          <w:sz w:val="32"/>
        </w:rPr>
        <w:t>支出</w:t>
      </w:r>
      <w:r>
        <w:rPr>
          <w:rFonts w:hint="eastAsia" w:ascii="仿宋" w:hAnsi="仿宋" w:eastAsia="仿宋" w:cs="仿宋_GB2312"/>
          <w:sz w:val="32"/>
          <w:szCs w:val="32"/>
        </w:rPr>
        <w:t>。</w:t>
      </w:r>
    </w:p>
    <w:p>
      <w:pPr>
        <w:tabs>
          <w:tab w:val="left" w:pos="7513"/>
        </w:tabs>
        <w:adjustRightInd w:val="0"/>
        <w:snapToGrid w:val="0"/>
        <w:spacing w:line="600" w:lineRule="exact"/>
        <w:outlineLvl w:val="1"/>
        <w:rPr>
          <w:rFonts w:ascii="黑体" w:hAnsi="黑体" w:eastAsia="黑体"/>
          <w:b w:val="0"/>
          <w:sz w:val="32"/>
          <w:szCs w:val="32"/>
        </w:rPr>
      </w:pPr>
      <w:bookmarkStart w:id="20" w:name="_Toc30342"/>
      <w:r>
        <w:rPr>
          <w:rFonts w:hint="eastAsia" w:ascii="黑体" w:hAnsi="黑体" w:eastAsia="黑体" w:cstheme="minorBidi"/>
          <w:b w:val="0"/>
          <w:kern w:val="2"/>
          <w:sz w:val="32"/>
          <w:szCs w:val="32"/>
          <w:lang w:eastAsia="zh-CN"/>
        </w:rPr>
        <w:t>三、政府性基金预算拨款支出情况</w:t>
      </w:r>
      <w:bookmarkEnd w:id="20"/>
    </w:p>
    <w:p>
      <w:pPr>
        <w:tabs>
          <w:tab w:val="left" w:pos="7513"/>
        </w:tabs>
        <w:adjustRightInd w:val="0"/>
        <w:snapToGrid w:val="0"/>
        <w:spacing w:line="600" w:lineRule="exact"/>
        <w:ind w:firstLine="620" w:firstLineChars="200"/>
        <w:rPr>
          <w:rFonts w:hint="eastAsia" w:ascii="仿宋" w:hAnsi="仿宋" w:eastAsia="仿宋"/>
          <w:color w:val="000000"/>
          <w:kern w:val="0"/>
          <w:sz w:val="31"/>
        </w:rPr>
      </w:pPr>
      <w:r>
        <w:rPr>
          <w:rFonts w:hint="eastAsia" w:ascii="仿宋" w:hAnsi="仿宋" w:eastAsia="仿宋"/>
          <w:color w:val="000000"/>
          <w:kern w:val="0"/>
          <w:sz w:val="31"/>
        </w:rPr>
        <w:t>本部门</w:t>
      </w:r>
      <w:r>
        <w:rPr>
          <w:rFonts w:hint="eastAsia" w:ascii="仿宋" w:hAnsi="仿宋" w:eastAsia="仿宋"/>
          <w:color w:val="000000"/>
          <w:kern w:val="0"/>
          <w:sz w:val="31"/>
          <w:lang w:eastAsia="zh-CN"/>
        </w:rPr>
        <w:t>2024年度</w:t>
      </w:r>
      <w:r>
        <w:rPr>
          <w:rFonts w:hint="eastAsia" w:ascii="仿宋" w:hAnsi="仿宋" w:eastAsia="仿宋"/>
          <w:color w:val="000000"/>
          <w:kern w:val="0"/>
          <w:sz w:val="31"/>
        </w:rPr>
        <w:t>度没有使用政府性基金预算拨款安排的支出。</w:t>
      </w:r>
    </w:p>
    <w:p>
      <w:pPr>
        <w:tabs>
          <w:tab w:val="left" w:pos="7513"/>
        </w:tabs>
        <w:adjustRightInd w:val="0"/>
        <w:snapToGrid w:val="0"/>
        <w:spacing w:line="600" w:lineRule="exact"/>
        <w:outlineLvl w:val="1"/>
        <w:rPr>
          <w:rFonts w:ascii="黑体" w:hAnsi="黑体" w:eastAsia="黑体" w:cs="仿宋_GB2312"/>
          <w:bCs/>
          <w:sz w:val="32"/>
          <w:szCs w:val="32"/>
        </w:rPr>
      </w:pPr>
      <w:bookmarkStart w:id="21" w:name="_Toc19561"/>
      <w:r>
        <w:rPr>
          <w:rFonts w:hint="eastAsia" w:ascii="黑体" w:hAnsi="黑体" w:eastAsia="黑体" w:cs="仿宋_GB2312"/>
          <w:bCs/>
          <w:sz w:val="32"/>
          <w:szCs w:val="32"/>
        </w:rPr>
        <w:t>四、国有资本经营预算拨款支出情况</w:t>
      </w:r>
      <w:bookmarkEnd w:id="21"/>
    </w:p>
    <w:p>
      <w:pPr>
        <w:tabs>
          <w:tab w:val="left" w:pos="7513"/>
        </w:tabs>
        <w:adjustRightInd w:val="0"/>
        <w:snapToGrid w:val="0"/>
        <w:spacing w:line="600" w:lineRule="exact"/>
        <w:ind w:firstLine="620" w:firstLineChars="200"/>
        <w:rPr>
          <w:rFonts w:hint="eastAsia" w:ascii="仿宋" w:hAnsi="仿宋" w:eastAsia="仿宋"/>
          <w:color w:val="000000"/>
          <w:kern w:val="0"/>
          <w:sz w:val="31"/>
        </w:rPr>
      </w:pPr>
      <w:r>
        <w:rPr>
          <w:rFonts w:hint="eastAsia" w:ascii="仿宋" w:hAnsi="仿宋" w:eastAsia="仿宋"/>
          <w:color w:val="000000"/>
          <w:kern w:val="0"/>
          <w:sz w:val="31"/>
        </w:rPr>
        <w:t>本部门</w:t>
      </w:r>
      <w:r>
        <w:rPr>
          <w:rFonts w:hint="eastAsia" w:ascii="仿宋" w:hAnsi="仿宋" w:eastAsia="仿宋"/>
          <w:color w:val="000000"/>
          <w:kern w:val="0"/>
          <w:sz w:val="31"/>
          <w:lang w:eastAsia="zh-CN"/>
        </w:rPr>
        <w:t>2024年度</w:t>
      </w:r>
      <w:r>
        <w:rPr>
          <w:rFonts w:hint="eastAsia" w:ascii="仿宋" w:hAnsi="仿宋" w:eastAsia="仿宋"/>
          <w:color w:val="000000"/>
          <w:kern w:val="0"/>
          <w:sz w:val="31"/>
        </w:rPr>
        <w:t>度没有使用国有资本经营预算拨款安排的支出。</w:t>
      </w:r>
    </w:p>
    <w:p>
      <w:pPr>
        <w:tabs>
          <w:tab w:val="left" w:pos="7513"/>
        </w:tabs>
        <w:adjustRightInd w:val="0"/>
        <w:snapToGrid w:val="0"/>
        <w:spacing w:line="600" w:lineRule="exact"/>
        <w:outlineLvl w:val="1"/>
        <w:rPr>
          <w:rFonts w:ascii="黑体" w:hAnsi="黑体" w:eastAsia="黑体"/>
          <w:b w:val="0"/>
          <w:sz w:val="32"/>
          <w:szCs w:val="32"/>
        </w:rPr>
      </w:pPr>
      <w:bookmarkStart w:id="22" w:name="_Toc11865"/>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bookmarkEnd w:id="22"/>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eastAsia="zh-CN"/>
        </w:rPr>
        <w:t>2024年度</w:t>
      </w:r>
      <w:r>
        <w:rPr>
          <w:rFonts w:hint="eastAsia" w:ascii="仿宋" w:hAnsi="仿宋" w:eastAsia="仿宋" w:cs="仿宋_GB2312"/>
          <w:sz w:val="32"/>
          <w:szCs w:val="32"/>
        </w:rPr>
        <w:t>度一般公共预算拨款基本支出</w:t>
      </w:r>
      <w:r>
        <w:rPr>
          <w:rFonts w:hint="eastAsia" w:ascii="仿宋" w:hAnsi="仿宋" w:eastAsia="仿宋" w:cs="仿宋_GB2312"/>
          <w:sz w:val="32"/>
          <w:szCs w:val="32"/>
          <w:lang w:val="en-US" w:eastAsia="zh-CN"/>
        </w:rPr>
        <w:t>167.83</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153.63</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14.2</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outlineLvl w:val="1"/>
        <w:rPr>
          <w:rFonts w:ascii="黑体" w:hAnsi="黑体" w:eastAsia="黑体"/>
          <w:b w:val="0"/>
          <w:sz w:val="32"/>
          <w:szCs w:val="32"/>
        </w:rPr>
      </w:pPr>
      <w:bookmarkStart w:id="23" w:name="_Toc13807"/>
      <w:r>
        <w:rPr>
          <w:rFonts w:hint="eastAsia" w:ascii="黑体" w:hAnsi="黑体" w:eastAsia="黑体" w:cstheme="minorBidi"/>
          <w:b w:val="0"/>
          <w:kern w:val="2"/>
          <w:sz w:val="32"/>
          <w:szCs w:val="32"/>
          <w:lang w:eastAsia="zh-CN"/>
        </w:rPr>
        <w:t>六、一般公共预算“三公”经费支出情况</w:t>
      </w:r>
      <w:bookmarkEnd w:id="23"/>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ascii="楷体" w:hAnsi="楷体" w:eastAsia="楷体" w:cs="仿宋_GB2312"/>
          <w:sz w:val="32"/>
          <w:szCs w:val="32"/>
        </w:rPr>
      </w:pPr>
      <w:r>
        <w:rPr>
          <w:rFonts w:hint="eastAsia" w:ascii="仿宋" w:hAnsi="仿宋" w:eastAsia="仿宋" w:cs="仿宋_GB2312"/>
          <w:kern w:val="0"/>
          <w:sz w:val="32"/>
          <w:szCs w:val="32"/>
          <w:lang w:eastAsia="zh-CN"/>
        </w:rPr>
        <w:t>2024年度</w:t>
      </w:r>
      <w:r>
        <w:rPr>
          <w:rFonts w:hint="eastAsia" w:ascii="仿宋" w:hAnsi="仿宋" w:eastAsia="仿宋"/>
          <w:kern w:val="0"/>
          <w:sz w:val="32"/>
        </w:rPr>
        <w:t>预算安排0万元。与上年持平</w:t>
      </w:r>
      <w:r>
        <w:rPr>
          <w:rFonts w:hint="eastAsia" w:ascii="仿宋" w:hAnsi="仿宋" w:eastAsia="仿宋"/>
          <w:sz w:val="32"/>
        </w:rPr>
        <w:t>，主要原因是</w:t>
      </w:r>
      <w:r>
        <w:rPr>
          <w:rFonts w:ascii="仿宋" w:hAnsi="仿宋" w:eastAsia="仿宋"/>
          <w:sz w:val="32"/>
        </w:rPr>
        <w:t>:</w:t>
      </w:r>
      <w:r>
        <w:rPr>
          <w:rFonts w:hint="eastAsia" w:ascii="仿宋" w:hAnsi="仿宋" w:eastAsia="仿宋"/>
          <w:sz w:val="32"/>
        </w:rPr>
        <w:t>本年度无因公出国（境）计划。</w:t>
      </w:r>
    </w:p>
    <w:p>
      <w:pPr>
        <w:widowControl/>
        <w:adjustRightInd w:val="0"/>
        <w:snapToGrid w:val="0"/>
        <w:spacing w:line="600" w:lineRule="exact"/>
        <w:ind w:firstLine="660"/>
        <w:rPr>
          <w:rFonts w:ascii="楷体" w:hAnsi="楷体" w:eastAsia="楷体" w:cs="仿宋_GB2312"/>
          <w:sz w:val="32"/>
          <w:szCs w:val="32"/>
        </w:rPr>
      </w:pP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2.5</w:t>
      </w:r>
      <w:r>
        <w:rPr>
          <w:rFonts w:hint="eastAsia" w:ascii="仿宋" w:hAnsi="仿宋" w:eastAsia="仿宋" w:cs="宋体"/>
          <w:kern w:val="0"/>
          <w:sz w:val="32"/>
          <w:szCs w:val="32"/>
        </w:rPr>
        <w:t>万元，</w:t>
      </w:r>
      <w:r>
        <w:rPr>
          <w:rFonts w:hint="eastAsia" w:ascii="仿宋" w:hAnsi="仿宋" w:eastAsia="仿宋" w:cs="仿宋_GB2312"/>
          <w:sz w:val="32"/>
          <w:szCs w:val="32"/>
        </w:rPr>
        <w:t>比上年增加</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eastAsia="zh-CN"/>
        </w:rPr>
        <w:t>与上年持平。</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w:t>
      </w:r>
      <w:r>
        <w:rPr>
          <w:rFonts w:hint="eastAsia" w:ascii="仿宋" w:hAnsi="仿宋" w:eastAsia="仿宋"/>
          <w:kern w:val="0"/>
          <w:sz w:val="32"/>
        </w:rPr>
        <w:t>预算安排0万元，其中：公车运行费0万元，公车购置费0万元。与上年持平</w:t>
      </w:r>
      <w:r>
        <w:rPr>
          <w:rFonts w:hint="eastAsia" w:ascii="仿宋" w:hAnsi="仿宋" w:eastAsia="仿宋"/>
          <w:sz w:val="32"/>
        </w:rPr>
        <w:t>，主要原因是</w:t>
      </w:r>
      <w:r>
        <w:rPr>
          <w:rFonts w:ascii="仿宋" w:hAnsi="仿宋" w:eastAsia="仿宋"/>
          <w:sz w:val="32"/>
        </w:rPr>
        <w:t>:</w:t>
      </w:r>
      <w:r>
        <w:rPr>
          <w:rFonts w:hint="eastAsia" w:ascii="仿宋" w:hAnsi="仿宋" w:eastAsia="仿宋"/>
          <w:sz w:val="32"/>
        </w:rPr>
        <w:t>本单位无公务车辆及购置计划。</w:t>
      </w:r>
    </w:p>
    <w:p>
      <w:pPr>
        <w:spacing w:line="600" w:lineRule="exact"/>
        <w:outlineLvl w:val="1"/>
        <w:rPr>
          <w:rFonts w:ascii="黑体" w:hAnsi="黑体" w:eastAsia="黑体"/>
          <w:b w:val="0"/>
          <w:sz w:val="32"/>
          <w:szCs w:val="32"/>
        </w:rPr>
      </w:pPr>
      <w:bookmarkStart w:id="24" w:name="_Toc20073"/>
      <w:r>
        <w:rPr>
          <w:rFonts w:hint="eastAsia" w:ascii="黑体" w:hAnsi="黑体" w:eastAsia="黑体" w:cstheme="minorBidi"/>
          <w:b w:val="0"/>
          <w:kern w:val="2"/>
          <w:sz w:val="32"/>
          <w:szCs w:val="32"/>
          <w:lang w:eastAsia="zh-CN"/>
        </w:rPr>
        <w:t>七、预算绩效目标情况</w:t>
      </w:r>
      <w:bookmarkEnd w:id="24"/>
    </w:p>
    <w:p>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eastAsia="zh-CN"/>
        </w:rPr>
        <w:t>2024年度</w:t>
      </w:r>
      <w:r>
        <w:rPr>
          <w:rFonts w:hint="eastAsia" w:ascii="仿宋" w:hAnsi="仿宋" w:eastAsia="仿宋" w:cs="仿宋_GB2312"/>
          <w:kern w:val="0"/>
          <w:sz w:val="32"/>
          <w:szCs w:val="32"/>
        </w:rPr>
        <w:t>，</w:t>
      </w:r>
      <w:r>
        <w:rPr>
          <w:rFonts w:hint="eastAsia" w:ascii="仿宋" w:hAnsi="仿宋" w:eastAsia="仿宋"/>
          <w:sz w:val="32"/>
        </w:rPr>
        <w:t>鼓楼区招商服务中心</w:t>
      </w:r>
      <w:r>
        <w:rPr>
          <w:rFonts w:hint="eastAsia" w:ascii="仿宋" w:hAnsi="仿宋" w:eastAsia="仿宋" w:cs="仿宋_GB2312"/>
          <w:kern w:val="0"/>
          <w:sz w:val="32"/>
          <w:szCs w:val="32"/>
        </w:rPr>
        <w:t>共设置</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30</w:t>
      </w:r>
      <w:r>
        <w:rPr>
          <w:rFonts w:hint="eastAsia" w:ascii="仿宋" w:hAnsi="仿宋" w:eastAsia="仿宋" w:cs="仿宋_GB2312"/>
          <w:kern w:val="0"/>
          <w:sz w:val="32"/>
          <w:szCs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p>
      <w:pPr>
        <w:spacing w:line="590" w:lineRule="exact"/>
        <w:ind w:firstLine="643" w:firstLineChars="200"/>
        <w:rPr>
          <w:rFonts w:ascii="仿宋" w:hAnsi="仿宋" w:eastAsia="仿宋"/>
          <w:b/>
          <w:sz w:val="32"/>
          <w:szCs w:val="32"/>
        </w:rPr>
      </w:pPr>
    </w:p>
    <w:p>
      <w:pPr>
        <w:spacing w:line="590" w:lineRule="exact"/>
        <w:ind w:firstLine="643" w:firstLineChars="200"/>
        <w:rPr>
          <w:rFonts w:ascii="仿宋" w:hAnsi="仿宋" w:eastAsia="仿宋"/>
          <w:b/>
          <w:sz w:val="32"/>
          <w:szCs w:val="32"/>
        </w:rPr>
      </w:pPr>
    </w:p>
    <w:p>
      <w:pPr>
        <w:spacing w:line="590" w:lineRule="exact"/>
        <w:ind w:firstLine="643" w:firstLineChars="200"/>
        <w:rPr>
          <w:rFonts w:ascii="仿宋" w:hAnsi="仿宋" w:eastAsia="仿宋"/>
          <w:b/>
          <w:sz w:val="32"/>
          <w:szCs w:val="32"/>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0"/>
        <w:gridCol w:w="1161"/>
        <w:gridCol w:w="1161"/>
        <w:gridCol w:w="2950"/>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5000" w:type="pct"/>
            <w:gridSpan w:val="5"/>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招商专项经费绩效目标表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项目资金（万元）</w:t>
            </w: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资金总额： </w:t>
            </w:r>
          </w:p>
        </w:tc>
        <w:tc>
          <w:tcPr>
            <w:tcW w:w="2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财政拨款：</w:t>
            </w:r>
          </w:p>
        </w:tc>
        <w:tc>
          <w:tcPr>
            <w:tcW w:w="2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2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上年结转结余财政拨款：</w:t>
            </w:r>
          </w:p>
        </w:tc>
        <w:tc>
          <w:tcPr>
            <w:tcW w:w="2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2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43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完成省、市、区下达的各项招商任务，确保招商引资工作成效在全市排名前列。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招商落地项目转化率</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引进落地项目数</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引进落地项目金额</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支付（结算）及时性</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签约项目数</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服务企业满意度</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pPr>
        <w:spacing w:line="590" w:lineRule="exact"/>
        <w:ind w:firstLine="640" w:firstLineChars="200"/>
        <w:rPr>
          <w:rFonts w:ascii="楷体" w:hAnsi="楷体" w:eastAsia="楷体" w:cs="楷体"/>
          <w:kern w:val="0"/>
          <w:sz w:val="32"/>
          <w:szCs w:val="32"/>
        </w:rPr>
      </w:pPr>
      <w:r>
        <w:rPr>
          <w:rFonts w:hint="eastAsia" w:ascii="仿宋" w:hAnsi="仿宋" w:eastAsia="仿宋" w:cs="仿宋_GB2312"/>
          <w:kern w:val="0"/>
          <w:sz w:val="32"/>
          <w:szCs w:val="32"/>
          <w:lang w:eastAsia="zh-CN"/>
        </w:rPr>
        <w:t>本部门无其他需要说明的绩效目标情况。</w:t>
      </w:r>
    </w:p>
    <w:p>
      <w:pPr>
        <w:spacing w:line="600" w:lineRule="exact"/>
        <w:outlineLvl w:val="1"/>
        <w:rPr>
          <w:rFonts w:ascii="黑体" w:hAnsi="黑体" w:eastAsia="黑体"/>
          <w:b w:val="0"/>
          <w:sz w:val="32"/>
          <w:szCs w:val="32"/>
        </w:rPr>
      </w:pPr>
      <w:bookmarkStart w:id="25" w:name="_Toc4345"/>
      <w:r>
        <w:rPr>
          <w:rFonts w:hint="eastAsia" w:ascii="黑体" w:hAnsi="黑体" w:eastAsia="黑体"/>
          <w:b w:val="0"/>
          <w:sz w:val="32"/>
          <w:szCs w:val="32"/>
        </w:rPr>
        <w:t>八、其他重要事项说明</w:t>
      </w:r>
      <w:bookmarkEnd w:id="25"/>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楷体" w:hAnsi="楷体" w:eastAsia="楷体"/>
          <w:color w:val="auto"/>
          <w:sz w:val="32"/>
          <w:szCs w:val="32"/>
        </w:rPr>
      </w:pPr>
      <w:r>
        <w:rPr>
          <w:rFonts w:hint="eastAsia" w:ascii="仿宋" w:hAnsi="仿宋" w:eastAsia="仿宋"/>
          <w:kern w:val="0"/>
          <w:sz w:val="32"/>
        </w:rPr>
        <w:t>本单位为事业单位，无机关运行经费。</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2024年度</w:t>
      </w:r>
      <w:r>
        <w:rPr>
          <w:rFonts w:hint="eastAsia" w:ascii="仿宋" w:hAnsi="仿宋" w:eastAsia="仿宋"/>
          <w:kern w:val="0"/>
          <w:sz w:val="32"/>
          <w:szCs w:val="32"/>
        </w:rPr>
        <w:t>，</w:t>
      </w:r>
      <w:r>
        <w:rPr>
          <w:rFonts w:hint="eastAsia" w:ascii="仿宋" w:hAnsi="仿宋" w:eastAsia="仿宋" w:cs="仿宋_GB2312"/>
          <w:sz w:val="32"/>
          <w:szCs w:val="32"/>
          <w:lang w:eastAsia="zh-CN"/>
        </w:rPr>
        <w:t>鼓楼区招商服务中心</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1.25</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1.25</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2023</w:t>
      </w:r>
      <w:r>
        <w:rPr>
          <w:rFonts w:hint="eastAsia" w:ascii="仿宋" w:hAnsi="仿宋" w:eastAsia="仿宋" w:cs="仿宋_GB2312"/>
          <w:kern w:val="0"/>
          <w:sz w:val="32"/>
          <w:szCs w:val="32"/>
        </w:rPr>
        <w:t>年12月31日，</w:t>
      </w:r>
      <w:r>
        <w:rPr>
          <w:rFonts w:hint="eastAsia" w:ascii="仿宋" w:hAnsi="仿宋" w:eastAsia="仿宋"/>
          <w:kern w:val="0"/>
          <w:sz w:val="32"/>
        </w:rPr>
        <w:t>鼓楼区招商服务中心</w:t>
      </w:r>
      <w:r>
        <w:rPr>
          <w:rFonts w:hint="eastAsia" w:ascii="仿宋" w:hAnsi="仿宋" w:eastAsia="仿宋"/>
          <w:sz w:val="32"/>
        </w:rPr>
        <w:t>本级及所属的预算单位共有车辆</w:t>
      </w:r>
      <w:r>
        <w:rPr>
          <w:rFonts w:hint="eastAsia" w:ascii="仿宋" w:hAnsi="仿宋" w:eastAsia="仿宋"/>
          <w:kern w:val="0"/>
          <w:sz w:val="32"/>
        </w:rPr>
        <w:t>0</w:t>
      </w:r>
      <w:r>
        <w:rPr>
          <w:rFonts w:hint="eastAsia" w:ascii="仿宋" w:hAnsi="仿宋" w:eastAsia="仿宋"/>
          <w:sz w:val="32"/>
        </w:rPr>
        <w:t>辆，其中：省部级领导干部用车</w:t>
      </w:r>
      <w:r>
        <w:rPr>
          <w:rFonts w:hint="eastAsia" w:ascii="仿宋" w:hAnsi="仿宋" w:eastAsia="仿宋"/>
          <w:kern w:val="0"/>
          <w:sz w:val="32"/>
        </w:rPr>
        <w:t>0</w:t>
      </w:r>
      <w:r>
        <w:rPr>
          <w:rFonts w:hint="eastAsia" w:ascii="仿宋" w:hAnsi="仿宋" w:eastAsia="仿宋"/>
          <w:sz w:val="32"/>
        </w:rPr>
        <w:t>辆，一般公务用车</w:t>
      </w:r>
      <w:r>
        <w:rPr>
          <w:rFonts w:hint="eastAsia" w:ascii="仿宋" w:hAnsi="仿宋" w:eastAsia="仿宋"/>
          <w:kern w:val="0"/>
          <w:sz w:val="32"/>
        </w:rPr>
        <w:t>0</w:t>
      </w:r>
      <w:r>
        <w:rPr>
          <w:rFonts w:hint="eastAsia" w:ascii="仿宋" w:hAnsi="仿宋" w:eastAsia="仿宋"/>
          <w:sz w:val="32"/>
        </w:rPr>
        <w:t>辆，一般执法执勤用车</w:t>
      </w:r>
      <w:r>
        <w:rPr>
          <w:rFonts w:hint="eastAsia" w:ascii="仿宋" w:hAnsi="仿宋" w:eastAsia="仿宋"/>
          <w:kern w:val="0"/>
          <w:sz w:val="32"/>
        </w:rPr>
        <w:t>0</w:t>
      </w:r>
      <w:r>
        <w:rPr>
          <w:rFonts w:hint="eastAsia" w:ascii="仿宋" w:hAnsi="仿宋" w:eastAsia="仿宋"/>
          <w:sz w:val="32"/>
        </w:rPr>
        <w:t>辆，特种专业技术用车</w:t>
      </w:r>
      <w:r>
        <w:rPr>
          <w:rFonts w:hint="eastAsia" w:ascii="仿宋" w:hAnsi="仿宋" w:eastAsia="仿宋"/>
          <w:kern w:val="0"/>
          <w:sz w:val="32"/>
        </w:rPr>
        <w:t>0</w:t>
      </w:r>
      <w:r>
        <w:rPr>
          <w:rFonts w:hint="eastAsia" w:ascii="仿宋" w:hAnsi="仿宋" w:eastAsia="仿宋"/>
          <w:sz w:val="32"/>
        </w:rPr>
        <w:t>辆，其他用车</w:t>
      </w:r>
      <w:r>
        <w:rPr>
          <w:rFonts w:hint="eastAsia" w:ascii="仿宋" w:hAnsi="仿宋" w:eastAsia="仿宋"/>
          <w:kern w:val="0"/>
          <w:sz w:val="32"/>
        </w:rPr>
        <w:t>0</w:t>
      </w:r>
      <w:r>
        <w:rPr>
          <w:rFonts w:hint="eastAsia" w:ascii="仿宋" w:hAnsi="仿宋" w:eastAsia="仿宋"/>
          <w:sz w:val="32"/>
        </w:rPr>
        <w:t>辆。单位价值</w:t>
      </w:r>
      <w:r>
        <w:rPr>
          <w:rFonts w:ascii="仿宋" w:hAnsi="仿宋" w:eastAsia="仿宋"/>
          <w:sz w:val="32"/>
        </w:rPr>
        <w:t>50</w:t>
      </w:r>
      <w:r>
        <w:rPr>
          <w:rFonts w:hint="eastAsia" w:ascii="仿宋" w:hAnsi="仿宋" w:eastAsia="仿宋"/>
          <w:sz w:val="32"/>
        </w:rPr>
        <w:t>万元以上通用设备</w:t>
      </w:r>
      <w:r>
        <w:rPr>
          <w:rFonts w:hint="eastAsia" w:ascii="仿宋" w:hAnsi="仿宋" w:eastAsia="仿宋"/>
          <w:kern w:val="0"/>
          <w:sz w:val="32"/>
        </w:rPr>
        <w:t>0台（套），</w:t>
      </w:r>
      <w:r>
        <w:rPr>
          <w:rFonts w:hint="eastAsia" w:ascii="仿宋" w:hAnsi="仿宋" w:eastAsia="仿宋"/>
          <w:sz w:val="32"/>
        </w:rPr>
        <w:t>单位价值</w:t>
      </w:r>
      <w:r>
        <w:rPr>
          <w:rFonts w:ascii="仿宋" w:hAnsi="仿宋" w:eastAsia="仿宋"/>
          <w:sz w:val="32"/>
        </w:rPr>
        <w:t>100</w:t>
      </w:r>
      <w:r>
        <w:rPr>
          <w:rFonts w:hint="eastAsia" w:ascii="仿宋" w:hAnsi="仿宋" w:eastAsia="仿宋"/>
          <w:sz w:val="32"/>
        </w:rPr>
        <w:t>万元以上专用设备</w:t>
      </w:r>
      <w:r>
        <w:rPr>
          <w:rFonts w:hint="eastAsia" w:ascii="仿宋" w:hAnsi="仿宋" w:eastAsia="仿宋"/>
          <w:kern w:val="0"/>
          <w:sz w:val="32"/>
        </w:rPr>
        <w:t>0台（套）。</w:t>
      </w: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outlineLvl w:val="0"/>
        <w:rPr>
          <w:rFonts w:ascii="黑体" w:hAnsi="黑体" w:eastAsia="黑体"/>
          <w:b w:val="0"/>
          <w:sz w:val="56"/>
        </w:rPr>
      </w:pPr>
      <w:bookmarkStart w:id="26" w:name="_Toc6201"/>
      <w:r>
        <w:rPr>
          <w:rFonts w:hint="eastAsia" w:ascii="黑体" w:hAnsi="黑体" w:eastAsia="黑体"/>
          <w:b w:val="0"/>
          <w:sz w:val="56"/>
        </w:rPr>
        <w:t>第四部分</w:t>
      </w:r>
      <w:r>
        <w:rPr>
          <w:rFonts w:ascii="黑体" w:hAnsi="黑体" w:eastAsia="黑体"/>
          <w:b w:val="0"/>
          <w:sz w:val="56"/>
        </w:rPr>
        <w:t xml:space="preserve"> </w:t>
      </w:r>
      <w:r>
        <w:rPr>
          <w:rFonts w:hint="eastAsia" w:ascii="黑体" w:hAnsi="黑体" w:eastAsia="黑体"/>
          <w:b w:val="0"/>
          <w:sz w:val="56"/>
        </w:rPr>
        <w:t>名词解释</w:t>
      </w:r>
      <w:bookmarkEnd w:id="26"/>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5"/>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5"/>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5"/>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6"/>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ZTg1YjVmOGM0YmRkODgwZGI2MTc2N2ZmMDQxZjg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A1A48FE"/>
    <w:rsid w:val="12D27221"/>
    <w:rsid w:val="153C7384"/>
    <w:rsid w:val="1D5F4FAA"/>
    <w:rsid w:val="2B202245"/>
    <w:rsid w:val="4D424BF3"/>
    <w:rsid w:val="53684FB5"/>
    <w:rsid w:val="5BCD1176"/>
    <w:rsid w:val="5DBC44E8"/>
    <w:rsid w:val="658C4425"/>
    <w:rsid w:val="6D416DB7"/>
    <w:rsid w:val="75AA2BF6"/>
    <w:rsid w:val="767B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rPr>
      <w:rFonts w:ascii="Times New Roman" w:hAnsi="Times New Roman" w:eastAsia="宋体" w:cs="Times New Roman"/>
    </w:rPr>
  </w:style>
  <w:style w:type="paragraph" w:styleId="3">
    <w:name w:val="annotation text"/>
    <w:basedOn w:val="1"/>
    <w:autoRedefine/>
    <w:semiHidden/>
    <w:unhideWhenUsed/>
    <w:qFormat/>
    <w:uiPriority w:val="99"/>
    <w:pPr>
      <w:jc w:val="left"/>
    </w:pPr>
  </w:style>
  <w:style w:type="paragraph" w:styleId="4">
    <w:name w:val="Body Text"/>
    <w:basedOn w:val="1"/>
    <w:link w:val="13"/>
    <w:autoRedefine/>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4"/>
    <w:autoRedefine/>
    <w:unhideWhenUsed/>
    <w:qFormat/>
    <w:uiPriority w:val="99"/>
    <w:pPr>
      <w:spacing w:line="240" w:lineRule="auto"/>
    </w:pPr>
    <w:rPr>
      <w:sz w:val="18"/>
      <w:szCs w:val="18"/>
    </w:rPr>
  </w:style>
  <w:style w:type="paragraph" w:styleId="6">
    <w:name w:val="footer"/>
    <w:basedOn w:val="1"/>
    <w:link w:val="12"/>
    <w:autoRedefine/>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autoRedefine/>
    <w:qFormat/>
    <w:uiPriority w:val="99"/>
    <w:rPr>
      <w:sz w:val="18"/>
      <w:szCs w:val="18"/>
    </w:rPr>
  </w:style>
  <w:style w:type="character" w:customStyle="1" w:styleId="12">
    <w:name w:val="页脚 Char"/>
    <w:basedOn w:val="10"/>
    <w:link w:val="6"/>
    <w:autoRedefine/>
    <w:qFormat/>
    <w:uiPriority w:val="99"/>
    <w:rPr>
      <w:sz w:val="18"/>
      <w:szCs w:val="18"/>
    </w:rPr>
  </w:style>
  <w:style w:type="character" w:customStyle="1" w:styleId="13">
    <w:name w:val="正文文本 Char"/>
    <w:basedOn w:val="10"/>
    <w:link w:val="4"/>
    <w:autoRedefine/>
    <w:qFormat/>
    <w:uiPriority w:val="1"/>
    <w:rPr>
      <w:rFonts w:ascii="Times New Roman" w:hAnsi="Times New Roman" w:eastAsia="Times New Roman" w:cs="Times New Roman"/>
      <w:kern w:val="0"/>
      <w:sz w:val="20"/>
      <w:szCs w:val="20"/>
      <w:lang w:eastAsia="en-US"/>
    </w:rPr>
  </w:style>
  <w:style w:type="character" w:customStyle="1" w:styleId="14">
    <w:name w:val="批注框文本 Char"/>
    <w:basedOn w:val="10"/>
    <w:link w:val="5"/>
    <w:autoRedefine/>
    <w:semiHidden/>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 w:type="paragraph" w:styleId="17">
    <w:name w:val="List Paragraph"/>
    <w:basedOn w:val="1"/>
    <w:autoRedefine/>
    <w:unhideWhenUsed/>
    <w:qFormat/>
    <w:uiPriority w:val="99"/>
    <w:pPr>
      <w:ind w:firstLine="420" w:firstLineChars="200"/>
    </w:p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9551</Words>
  <Characters>10070</Characters>
  <Lines>95</Lines>
  <Paragraphs>26</Paragraphs>
  <TotalTime>0</TotalTime>
  <ScaleCrop>false</ScaleCrop>
  <LinksUpToDate>false</LinksUpToDate>
  <CharactersWithSpaces>10489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颍</cp:lastModifiedBy>
  <cp:lastPrinted>2023-01-03T09:16:00Z</cp:lastPrinted>
  <dcterms:modified xsi:type="dcterms:W3CDTF">2024-02-01T01:59:17Z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9F6C8C8FD0504C849F522B48DFC05FDE</vt:lpwstr>
  </property>
</Properties>
</file>