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widowControl/>
        <w:rPr>
          <w:rFonts w:ascii="黑体" w:hAnsi="黑体" w:eastAsia="黑体"/>
          <w:sz w:val="32"/>
          <w:szCs w:val="32"/>
        </w:rPr>
      </w:pPr>
      <w:r>
        <w:rPr>
          <w:rFonts w:hint="eastAsia" w:ascii="黑体" w:hAnsi="黑体" w:eastAsia="黑体"/>
          <w:sz w:val="32"/>
          <w:szCs w:val="32"/>
        </w:rPr>
        <w:t>附件1</w:t>
      </w:r>
    </w:p>
    <w:p>
      <w:pPr>
        <w:widowControl/>
        <w:rPr>
          <w:sz w:val="32"/>
          <w:szCs w:val="32"/>
        </w:rPr>
      </w:pPr>
    </w:p>
    <w:p>
      <w:pPr>
        <w:widowControl/>
        <w:jc w:val="center"/>
        <w:rPr>
          <w:sz w:val="84"/>
          <w:szCs w:val="84"/>
        </w:rPr>
      </w:pPr>
    </w:p>
    <w:p>
      <w:pPr>
        <w:widowControl/>
        <w:jc w:val="center"/>
        <w:rPr>
          <w:sz w:val="84"/>
          <w:szCs w:val="84"/>
        </w:rPr>
      </w:pPr>
    </w:p>
    <w:p>
      <w:pPr>
        <w:widowControl/>
        <w:jc w:val="center"/>
        <w:rPr>
          <w:rFonts w:ascii="方正小标宋简体" w:eastAsia="方正小标宋简体"/>
          <w:sz w:val="84"/>
          <w:szCs w:val="84"/>
        </w:rPr>
      </w:pPr>
      <w:r>
        <w:rPr>
          <w:rFonts w:hint="eastAsia" w:ascii="方正小标宋简体" w:eastAsia="方正小标宋简体"/>
          <w:sz w:val="84"/>
          <w:szCs w:val="84"/>
          <w:lang w:val="en-US" w:eastAsia="zh-CN"/>
        </w:rPr>
        <w:t>2024</w:t>
      </w:r>
      <w:r>
        <w:rPr>
          <w:rFonts w:hint="eastAsia" w:ascii="方正小标宋简体" w:eastAsia="方正小标宋简体"/>
          <w:sz w:val="84"/>
          <w:szCs w:val="84"/>
        </w:rPr>
        <w:t>年度</w:t>
      </w:r>
    </w:p>
    <w:p>
      <w:pPr>
        <w:widowControl/>
        <w:jc w:val="center"/>
        <w:rPr>
          <w:rFonts w:ascii="方正小标宋简体" w:eastAsia="方正小标宋简体"/>
          <w:sz w:val="84"/>
          <w:szCs w:val="84"/>
        </w:rPr>
      </w:pPr>
      <w:r>
        <w:rPr>
          <w:rFonts w:hint="eastAsia" w:ascii="方正小标宋简体" w:eastAsia="方正小标宋简体"/>
          <w:sz w:val="84"/>
          <w:szCs w:val="84"/>
          <w:lang w:eastAsia="zh-CN"/>
        </w:rPr>
        <w:t>福州市鼓楼区商务局本级</w:t>
      </w:r>
      <w:r>
        <w:rPr>
          <w:rFonts w:hint="eastAsia" w:ascii="方正小标宋简体" w:eastAsia="方正小标宋简体"/>
          <w:sz w:val="84"/>
          <w:szCs w:val="84"/>
        </w:rPr>
        <w:t>部门预算</w:t>
      </w:r>
    </w:p>
    <w:p>
      <w:pPr>
        <w:widowControl/>
        <w:rPr>
          <w:sz w:val="84"/>
          <w:szCs w:val="84"/>
        </w:rPr>
      </w:pPr>
      <w:r>
        <w:rPr>
          <w:sz w:val="84"/>
          <w:szCs w:val="84"/>
        </w:rPr>
        <w:br w:type="page"/>
      </w:r>
    </w:p>
    <w:sdt>
      <w:sdtPr>
        <w:rPr>
          <w:rFonts w:ascii="宋体" w:hAnsi="宋体" w:eastAsia="宋体" w:cstheme="minorBidi"/>
          <w:kern w:val="2"/>
          <w:sz w:val="21"/>
          <w:szCs w:val="22"/>
          <w:lang w:val="en-US" w:eastAsia="zh-CN" w:bidi="ar-SA"/>
        </w:rPr>
        <w:id w:val="147479865"/>
        <w15:color w:val="DBDBDB"/>
        <w:docPartObj>
          <w:docPartGallery w:val="Table of Contents"/>
          <w:docPartUnique/>
        </w:docPartObj>
      </w:sdtPr>
      <w:sdtEndPr>
        <w:rPr>
          <w:rFonts w:ascii="宋体" w:hAnsi="宋体" w:eastAsia="宋体" w:cstheme="minorBidi"/>
          <w:b/>
          <w:kern w:val="2"/>
          <w:sz w:val="21"/>
          <w:szCs w:val="22"/>
          <w:lang w:val="en-US" w:eastAsia="zh-CN" w:bidi="ar-SA"/>
        </w:rPr>
      </w:sdtEndPr>
      <w:sdtContent>
        <w:p>
          <w:pPr>
            <w:spacing w:before="0" w:beforeLines="0" w:after="0" w:afterLines="0" w:line="240" w:lineRule="auto"/>
            <w:ind w:left="0" w:leftChars="0" w:right="0" w:rightChars="0" w:firstLine="0" w:firstLineChars="0"/>
            <w:jc w:val="center"/>
            <w:rPr>
              <w:rFonts w:hint="eastAsia" w:ascii="仿宋" w:hAnsi="仿宋" w:eastAsia="仿宋" w:cs="Times New Roman"/>
              <w:b/>
              <w:kern w:val="0"/>
              <w:sz w:val="72"/>
              <w:szCs w:val="72"/>
              <w:lang w:val="en-US" w:eastAsia="zh-CN" w:bidi="ar-SA"/>
            </w:rPr>
          </w:pPr>
          <w:r>
            <w:rPr>
              <w:rFonts w:hint="eastAsia" w:ascii="仿宋" w:hAnsi="仿宋" w:eastAsia="仿宋" w:cs="Times New Roman"/>
              <w:b/>
              <w:kern w:val="0"/>
              <w:sz w:val="72"/>
              <w:szCs w:val="72"/>
              <w:lang w:val="en-US" w:eastAsia="zh-CN" w:bidi="ar-SA"/>
            </w:rPr>
            <w:t>目录</w:t>
          </w:r>
        </w:p>
        <w:p>
          <w:pPr>
            <w:pStyle w:val="22"/>
            <w:tabs>
              <w:tab w:val="right" w:leader="dot" w:pos="8306"/>
            </w:tabs>
            <w:rPr>
              <w:b/>
            </w:rPr>
          </w:pPr>
          <w:r>
            <w:fldChar w:fldCharType="begin"/>
          </w:r>
          <w:r>
            <w:instrText xml:space="preserve">TOC \o "1-2" \h \u </w:instrText>
          </w:r>
          <w:r>
            <w:fldChar w:fldCharType="separate"/>
          </w:r>
        </w:p>
        <w:p>
          <w:pPr>
            <w:pStyle w:val="22"/>
            <w:tabs>
              <w:tab w:val="right" w:leader="dot" w:pos="8306"/>
            </w:tabs>
            <w:rPr>
              <w:rFonts w:hint="eastAsia" w:ascii="仿宋" w:hAnsi="仿宋" w:eastAsia="仿宋" w:cs="Times New Roman"/>
              <w:b/>
              <w:kern w:val="0"/>
              <w:sz w:val="36"/>
              <w:szCs w:val="20"/>
              <w:lang w:val="en-US" w:eastAsia="zh-CN" w:bidi="ar-SA"/>
            </w:rPr>
          </w:pPr>
          <w:r>
            <w:rPr>
              <w:rFonts w:hint="eastAsia" w:ascii="仿宋" w:hAnsi="仿宋" w:eastAsia="仿宋" w:cs="Times New Roman"/>
              <w:b/>
              <w:kern w:val="0"/>
              <w:sz w:val="36"/>
              <w:szCs w:val="20"/>
              <w:lang w:val="en-US" w:eastAsia="zh-CN" w:bidi="ar-SA"/>
            </w:rPr>
            <w:fldChar w:fldCharType="begin"/>
          </w:r>
          <w:r>
            <w:rPr>
              <w:rFonts w:hint="eastAsia" w:ascii="仿宋" w:hAnsi="仿宋" w:eastAsia="仿宋" w:cs="Times New Roman"/>
              <w:b/>
              <w:kern w:val="0"/>
              <w:sz w:val="36"/>
              <w:szCs w:val="20"/>
              <w:lang w:val="en-US" w:eastAsia="zh-CN" w:bidi="ar-SA"/>
            </w:rPr>
            <w:instrText xml:space="preserve"> HYPERLINK \l _Toc13745 </w:instrText>
          </w:r>
          <w:r>
            <w:rPr>
              <w:rFonts w:hint="eastAsia" w:ascii="仿宋" w:hAnsi="仿宋" w:eastAsia="仿宋" w:cs="Times New Roman"/>
              <w:b/>
              <w:kern w:val="0"/>
              <w:sz w:val="36"/>
              <w:szCs w:val="20"/>
              <w:lang w:val="en-US" w:eastAsia="zh-CN" w:bidi="ar-SA"/>
            </w:rPr>
            <w:fldChar w:fldCharType="separate"/>
          </w:r>
          <w:r>
            <w:rPr>
              <w:rFonts w:hint="eastAsia" w:ascii="仿宋" w:hAnsi="仿宋" w:eastAsia="仿宋" w:cs="Times New Roman"/>
              <w:b/>
              <w:kern w:val="0"/>
              <w:sz w:val="36"/>
              <w:szCs w:val="20"/>
              <w:lang w:val="en-US" w:eastAsia="zh-CN" w:bidi="ar-SA"/>
            </w:rPr>
            <w:t>第一部分 部门概况</w:t>
          </w:r>
          <w:r>
            <w:rPr>
              <w:rFonts w:hint="eastAsia" w:ascii="仿宋" w:hAnsi="仿宋" w:eastAsia="仿宋" w:cs="Times New Roman"/>
              <w:b/>
              <w:kern w:val="0"/>
              <w:sz w:val="36"/>
              <w:szCs w:val="20"/>
              <w:lang w:val="en-US" w:eastAsia="zh-CN" w:bidi="ar-SA"/>
            </w:rPr>
            <w:tab/>
          </w:r>
          <w:r>
            <w:rPr>
              <w:rFonts w:hint="eastAsia" w:ascii="仿宋" w:hAnsi="仿宋" w:eastAsia="仿宋" w:cs="Times New Roman"/>
              <w:b/>
              <w:kern w:val="0"/>
              <w:sz w:val="36"/>
              <w:szCs w:val="20"/>
              <w:lang w:val="en-US" w:eastAsia="zh-CN" w:bidi="ar-SA"/>
            </w:rPr>
            <w:fldChar w:fldCharType="begin"/>
          </w:r>
          <w:r>
            <w:rPr>
              <w:rFonts w:hint="eastAsia" w:ascii="仿宋" w:hAnsi="仿宋" w:eastAsia="仿宋" w:cs="Times New Roman"/>
              <w:b/>
              <w:kern w:val="0"/>
              <w:sz w:val="36"/>
              <w:szCs w:val="20"/>
              <w:lang w:val="en-US" w:eastAsia="zh-CN" w:bidi="ar-SA"/>
            </w:rPr>
            <w:instrText xml:space="preserve"> PAGEREF _Toc13745 \h </w:instrText>
          </w:r>
          <w:r>
            <w:rPr>
              <w:rFonts w:hint="eastAsia" w:ascii="仿宋" w:hAnsi="仿宋" w:eastAsia="仿宋" w:cs="Times New Roman"/>
              <w:b/>
              <w:kern w:val="0"/>
              <w:sz w:val="36"/>
              <w:szCs w:val="20"/>
              <w:lang w:val="en-US" w:eastAsia="zh-CN" w:bidi="ar-SA"/>
            </w:rPr>
            <w:fldChar w:fldCharType="separate"/>
          </w:r>
          <w:r>
            <w:rPr>
              <w:rFonts w:hint="eastAsia" w:ascii="仿宋" w:hAnsi="仿宋" w:eastAsia="仿宋" w:cs="Times New Roman"/>
              <w:b/>
              <w:kern w:val="0"/>
              <w:sz w:val="36"/>
              <w:szCs w:val="20"/>
              <w:lang w:val="en-US" w:eastAsia="zh-CN" w:bidi="ar-SA"/>
            </w:rPr>
            <w:t>4</w:t>
          </w:r>
          <w:r>
            <w:rPr>
              <w:rFonts w:hint="eastAsia" w:ascii="仿宋" w:hAnsi="仿宋" w:eastAsia="仿宋" w:cs="Times New Roman"/>
              <w:b/>
              <w:kern w:val="0"/>
              <w:sz w:val="36"/>
              <w:szCs w:val="20"/>
              <w:lang w:val="en-US" w:eastAsia="zh-CN" w:bidi="ar-SA"/>
            </w:rPr>
            <w:fldChar w:fldCharType="end"/>
          </w:r>
          <w:r>
            <w:rPr>
              <w:rFonts w:hint="eastAsia" w:ascii="仿宋" w:hAnsi="仿宋" w:eastAsia="仿宋" w:cs="Times New Roman"/>
              <w:b/>
              <w:kern w:val="0"/>
              <w:sz w:val="36"/>
              <w:szCs w:val="20"/>
              <w:lang w:val="en-US" w:eastAsia="zh-CN" w:bidi="ar-SA"/>
            </w:rPr>
            <w:fldChar w:fldCharType="end"/>
          </w:r>
        </w:p>
        <w:p>
          <w:pPr>
            <w:pStyle w:val="23"/>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_Toc14570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一、部门主要职责</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_Toc14570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5</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23"/>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_Toc7328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二、部门预算单位构成</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_Toc7328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5</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23"/>
            <w:tabs>
              <w:tab w:val="right" w:leader="dot" w:pos="8306"/>
            </w:tabs>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_Toc31311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三、部门主要工作任务</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_Toc31311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8</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22"/>
            <w:tabs>
              <w:tab w:val="right" w:leader="dot" w:pos="8306"/>
            </w:tabs>
            <w:rPr>
              <w:rFonts w:hint="eastAsia" w:ascii="仿宋" w:hAnsi="仿宋" w:eastAsia="仿宋" w:cs="Times New Roman"/>
              <w:b/>
              <w:kern w:val="0"/>
              <w:sz w:val="36"/>
              <w:szCs w:val="20"/>
              <w:lang w:val="en-US" w:eastAsia="zh-CN" w:bidi="ar-SA"/>
            </w:rPr>
          </w:pPr>
          <w:r>
            <w:rPr>
              <w:rFonts w:hint="eastAsia" w:ascii="仿宋" w:hAnsi="仿宋" w:eastAsia="仿宋" w:cs="Times New Roman"/>
              <w:b/>
              <w:kern w:val="0"/>
              <w:sz w:val="36"/>
              <w:szCs w:val="20"/>
              <w:lang w:val="en-US" w:eastAsia="zh-CN" w:bidi="ar-SA"/>
            </w:rPr>
            <w:fldChar w:fldCharType="begin"/>
          </w:r>
          <w:r>
            <w:rPr>
              <w:rFonts w:hint="eastAsia" w:ascii="仿宋" w:hAnsi="仿宋" w:eastAsia="仿宋" w:cs="Times New Roman"/>
              <w:b/>
              <w:kern w:val="0"/>
              <w:sz w:val="36"/>
              <w:szCs w:val="20"/>
              <w:lang w:val="en-US" w:eastAsia="zh-CN" w:bidi="ar-SA"/>
            </w:rPr>
            <w:instrText xml:space="preserve"> HYPERLINK \l _Toc5117 </w:instrText>
          </w:r>
          <w:r>
            <w:rPr>
              <w:rFonts w:hint="eastAsia" w:ascii="仿宋" w:hAnsi="仿宋" w:eastAsia="仿宋" w:cs="Times New Roman"/>
              <w:b/>
              <w:kern w:val="0"/>
              <w:sz w:val="36"/>
              <w:szCs w:val="20"/>
              <w:lang w:val="en-US" w:eastAsia="zh-CN" w:bidi="ar-SA"/>
            </w:rPr>
            <w:fldChar w:fldCharType="separate"/>
          </w:r>
          <w:r>
            <w:rPr>
              <w:rFonts w:hint="eastAsia" w:ascii="仿宋" w:hAnsi="仿宋" w:eastAsia="仿宋" w:cs="Times New Roman"/>
              <w:b/>
              <w:kern w:val="0"/>
              <w:sz w:val="36"/>
              <w:szCs w:val="20"/>
              <w:lang w:val="en-US" w:eastAsia="zh-CN" w:bidi="ar-SA"/>
            </w:rPr>
            <w:t>第二部分  2024年度部门预算表</w:t>
          </w:r>
          <w:r>
            <w:rPr>
              <w:rFonts w:hint="eastAsia" w:ascii="仿宋" w:hAnsi="仿宋" w:eastAsia="仿宋" w:cs="Times New Roman"/>
              <w:b/>
              <w:kern w:val="0"/>
              <w:sz w:val="36"/>
              <w:szCs w:val="20"/>
              <w:lang w:val="en-US" w:eastAsia="zh-CN" w:bidi="ar-SA"/>
            </w:rPr>
            <w:tab/>
          </w:r>
          <w:r>
            <w:rPr>
              <w:rFonts w:hint="eastAsia" w:ascii="仿宋" w:hAnsi="仿宋" w:eastAsia="仿宋" w:cs="Times New Roman"/>
              <w:b/>
              <w:kern w:val="0"/>
              <w:sz w:val="36"/>
              <w:szCs w:val="20"/>
              <w:lang w:val="en-US" w:eastAsia="zh-CN" w:bidi="ar-SA"/>
            </w:rPr>
            <w:fldChar w:fldCharType="begin"/>
          </w:r>
          <w:r>
            <w:rPr>
              <w:rFonts w:hint="eastAsia" w:ascii="仿宋" w:hAnsi="仿宋" w:eastAsia="仿宋" w:cs="Times New Roman"/>
              <w:b/>
              <w:kern w:val="0"/>
              <w:sz w:val="36"/>
              <w:szCs w:val="20"/>
              <w:lang w:val="en-US" w:eastAsia="zh-CN" w:bidi="ar-SA"/>
            </w:rPr>
            <w:instrText xml:space="preserve"> PAGEREF _Toc5117 \h </w:instrText>
          </w:r>
          <w:r>
            <w:rPr>
              <w:rFonts w:hint="eastAsia" w:ascii="仿宋" w:hAnsi="仿宋" w:eastAsia="仿宋" w:cs="Times New Roman"/>
              <w:b/>
              <w:kern w:val="0"/>
              <w:sz w:val="36"/>
              <w:szCs w:val="20"/>
              <w:lang w:val="en-US" w:eastAsia="zh-CN" w:bidi="ar-SA"/>
            </w:rPr>
            <w:fldChar w:fldCharType="separate"/>
          </w:r>
          <w:r>
            <w:rPr>
              <w:rFonts w:hint="eastAsia" w:ascii="仿宋" w:hAnsi="仿宋" w:eastAsia="仿宋" w:cs="Times New Roman"/>
              <w:b/>
              <w:kern w:val="0"/>
              <w:sz w:val="36"/>
              <w:szCs w:val="20"/>
              <w:lang w:val="en-US" w:eastAsia="zh-CN" w:bidi="ar-SA"/>
            </w:rPr>
            <w:t>11</w:t>
          </w:r>
          <w:r>
            <w:rPr>
              <w:rFonts w:hint="eastAsia" w:ascii="仿宋" w:hAnsi="仿宋" w:eastAsia="仿宋" w:cs="Times New Roman"/>
              <w:b/>
              <w:kern w:val="0"/>
              <w:sz w:val="36"/>
              <w:szCs w:val="20"/>
              <w:lang w:val="en-US" w:eastAsia="zh-CN" w:bidi="ar-SA"/>
            </w:rPr>
            <w:fldChar w:fldCharType="end"/>
          </w:r>
          <w:r>
            <w:rPr>
              <w:rFonts w:hint="eastAsia" w:ascii="仿宋" w:hAnsi="仿宋" w:eastAsia="仿宋" w:cs="Times New Roman"/>
              <w:b/>
              <w:kern w:val="0"/>
              <w:sz w:val="36"/>
              <w:szCs w:val="20"/>
              <w:lang w:val="en-US" w:eastAsia="zh-CN" w:bidi="ar-SA"/>
            </w:rPr>
            <w:fldChar w:fldCharType="end"/>
          </w:r>
        </w:p>
        <w:p>
          <w:pPr>
            <w:pStyle w:val="23"/>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_Toc1843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一、收支预算总表</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_Toc1843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12</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23"/>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_Toc9094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二、收入预算总表</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_Toc9094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13</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23"/>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_Toc2201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三、支出预算总表</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_Toc2201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14</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23"/>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_Toc5994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四、财政拨款收支预算总表</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_Toc5994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15</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23"/>
            <w:tabs>
              <w:tab w:val="right" w:leader="dot" w:pos="8306"/>
            </w:tabs>
            <w:rPr>
              <w:rFonts w:hint="default"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_Toc11342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五、一般公共预算拨款支出预算表</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t>1</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t>6</w:t>
          </w:r>
        </w:p>
        <w:p>
          <w:pPr>
            <w:pStyle w:val="23"/>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_Toc30539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六、政府性基金预算拨款支出预算表</w:t>
          </w:r>
          <w:bookmarkStart w:id="26" w:name="_GoBack"/>
          <w:bookmarkEnd w:id="26"/>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_Toc30539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16</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23"/>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_Toc20553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七、国有资本经营预算拨款支出预算表</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_Toc20553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16</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23"/>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_Toc21152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八、一般公共预算支出经济分类情况表</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_Toc21152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17</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23"/>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_Toc12825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九、一般公共预算基本支出经济分类情况表</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_Toc12825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17</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23"/>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_Toc29925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十、一般公共预算“三公”经费支出预算表</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_Toc29925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21</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23"/>
            <w:tabs>
              <w:tab w:val="right" w:leader="dot" w:pos="8306"/>
            </w:tabs>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_Toc2761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十一、部门专项资金管理清单目录</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_Toc2761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22</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22"/>
            <w:tabs>
              <w:tab w:val="right" w:leader="dot" w:pos="8306"/>
            </w:tabs>
            <w:rPr>
              <w:rFonts w:hint="eastAsia" w:ascii="仿宋" w:hAnsi="仿宋" w:eastAsia="仿宋" w:cs="Times New Roman"/>
              <w:b/>
              <w:kern w:val="0"/>
              <w:sz w:val="36"/>
              <w:szCs w:val="20"/>
              <w:lang w:val="en-US" w:eastAsia="zh-CN" w:bidi="ar-SA"/>
            </w:rPr>
          </w:pPr>
          <w:r>
            <w:rPr>
              <w:rFonts w:hint="eastAsia" w:ascii="仿宋" w:hAnsi="仿宋" w:eastAsia="仿宋" w:cs="Times New Roman"/>
              <w:b/>
              <w:kern w:val="0"/>
              <w:sz w:val="36"/>
              <w:szCs w:val="20"/>
              <w:lang w:val="en-US" w:eastAsia="zh-CN" w:bidi="ar-SA"/>
            </w:rPr>
            <w:fldChar w:fldCharType="begin"/>
          </w:r>
          <w:r>
            <w:rPr>
              <w:rFonts w:hint="eastAsia" w:ascii="仿宋" w:hAnsi="仿宋" w:eastAsia="仿宋" w:cs="Times New Roman"/>
              <w:b/>
              <w:kern w:val="0"/>
              <w:sz w:val="36"/>
              <w:szCs w:val="20"/>
              <w:lang w:val="en-US" w:eastAsia="zh-CN" w:bidi="ar-SA"/>
            </w:rPr>
            <w:instrText xml:space="preserve"> HYPERLINK \l _Toc26740 </w:instrText>
          </w:r>
          <w:r>
            <w:rPr>
              <w:rFonts w:hint="eastAsia" w:ascii="仿宋" w:hAnsi="仿宋" w:eastAsia="仿宋" w:cs="Times New Roman"/>
              <w:b/>
              <w:kern w:val="0"/>
              <w:sz w:val="36"/>
              <w:szCs w:val="20"/>
              <w:lang w:val="en-US" w:eastAsia="zh-CN" w:bidi="ar-SA"/>
            </w:rPr>
            <w:fldChar w:fldCharType="separate"/>
          </w:r>
          <w:r>
            <w:rPr>
              <w:rFonts w:hint="eastAsia" w:ascii="仿宋" w:hAnsi="仿宋" w:eastAsia="仿宋" w:cs="Times New Roman"/>
              <w:b/>
              <w:kern w:val="0"/>
              <w:sz w:val="36"/>
              <w:szCs w:val="20"/>
              <w:lang w:val="en-US" w:eastAsia="zh-CN" w:bidi="ar-SA"/>
            </w:rPr>
            <w:t>第三部分  2024年度部门预算情况说明</w:t>
          </w:r>
          <w:r>
            <w:rPr>
              <w:rFonts w:hint="eastAsia" w:ascii="仿宋" w:hAnsi="仿宋" w:eastAsia="仿宋" w:cs="Times New Roman"/>
              <w:b/>
              <w:kern w:val="0"/>
              <w:sz w:val="36"/>
              <w:szCs w:val="20"/>
              <w:lang w:val="en-US" w:eastAsia="zh-CN" w:bidi="ar-SA"/>
            </w:rPr>
            <w:tab/>
          </w:r>
          <w:r>
            <w:rPr>
              <w:rFonts w:hint="eastAsia" w:ascii="仿宋" w:hAnsi="仿宋" w:eastAsia="仿宋" w:cs="Times New Roman"/>
              <w:b/>
              <w:kern w:val="0"/>
              <w:sz w:val="36"/>
              <w:szCs w:val="20"/>
              <w:lang w:val="en-US" w:eastAsia="zh-CN" w:bidi="ar-SA"/>
            </w:rPr>
            <w:fldChar w:fldCharType="begin"/>
          </w:r>
          <w:r>
            <w:rPr>
              <w:rFonts w:hint="eastAsia" w:ascii="仿宋" w:hAnsi="仿宋" w:eastAsia="仿宋" w:cs="Times New Roman"/>
              <w:b/>
              <w:kern w:val="0"/>
              <w:sz w:val="36"/>
              <w:szCs w:val="20"/>
              <w:lang w:val="en-US" w:eastAsia="zh-CN" w:bidi="ar-SA"/>
            </w:rPr>
            <w:instrText xml:space="preserve"> PAGEREF _Toc26740 \h </w:instrText>
          </w:r>
          <w:r>
            <w:rPr>
              <w:rFonts w:hint="eastAsia" w:ascii="仿宋" w:hAnsi="仿宋" w:eastAsia="仿宋" w:cs="Times New Roman"/>
              <w:b/>
              <w:kern w:val="0"/>
              <w:sz w:val="36"/>
              <w:szCs w:val="20"/>
              <w:lang w:val="en-US" w:eastAsia="zh-CN" w:bidi="ar-SA"/>
            </w:rPr>
            <w:fldChar w:fldCharType="separate"/>
          </w:r>
          <w:r>
            <w:rPr>
              <w:rFonts w:hint="eastAsia" w:ascii="仿宋" w:hAnsi="仿宋" w:eastAsia="仿宋" w:cs="Times New Roman"/>
              <w:b/>
              <w:kern w:val="0"/>
              <w:sz w:val="36"/>
              <w:szCs w:val="20"/>
              <w:lang w:val="en-US" w:eastAsia="zh-CN" w:bidi="ar-SA"/>
            </w:rPr>
            <w:t>23</w:t>
          </w:r>
          <w:r>
            <w:rPr>
              <w:rFonts w:hint="eastAsia" w:ascii="仿宋" w:hAnsi="仿宋" w:eastAsia="仿宋" w:cs="Times New Roman"/>
              <w:b/>
              <w:kern w:val="0"/>
              <w:sz w:val="36"/>
              <w:szCs w:val="20"/>
              <w:lang w:val="en-US" w:eastAsia="zh-CN" w:bidi="ar-SA"/>
            </w:rPr>
            <w:fldChar w:fldCharType="end"/>
          </w:r>
          <w:r>
            <w:rPr>
              <w:rFonts w:hint="eastAsia" w:ascii="仿宋" w:hAnsi="仿宋" w:eastAsia="仿宋" w:cs="Times New Roman"/>
              <w:b/>
              <w:kern w:val="0"/>
              <w:sz w:val="36"/>
              <w:szCs w:val="20"/>
              <w:lang w:val="en-US" w:eastAsia="zh-CN" w:bidi="ar-SA"/>
            </w:rPr>
            <w:fldChar w:fldCharType="end"/>
          </w:r>
        </w:p>
        <w:p>
          <w:pPr>
            <w:pStyle w:val="23"/>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_Toc736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一、预算收支总体情况</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_Toc736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24</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23"/>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_Toc9472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二、一般公共预算拨款支出情况</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_Toc9472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24</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23"/>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_Toc1897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三、政府性基金预算拨款支出情况</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_Toc1897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25</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23"/>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_Toc28419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四、国有资本经营预算拨款支出情况</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_Toc28419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25</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23"/>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_Toc4131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五、一般公共预算拨款基本支出情况</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_Toc4131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25</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23"/>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_Toc22442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六、一般公共预算“三公”经费支出情况</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_Toc22442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26</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23"/>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_Toc10314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七、预算绩效目标情况</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_Toc10314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26</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23"/>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_Toc2301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八、其他重要事项说明</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_Toc2301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27</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22"/>
            <w:tabs>
              <w:tab w:val="right" w:leader="dot" w:pos="8306"/>
            </w:tabs>
            <w:rPr>
              <w:rFonts w:hint="eastAsia" w:ascii="仿宋" w:hAnsi="仿宋" w:eastAsia="仿宋" w:cs="Times New Roman"/>
              <w:b/>
              <w:kern w:val="0"/>
              <w:sz w:val="36"/>
              <w:szCs w:val="20"/>
              <w:lang w:val="en-US" w:eastAsia="zh-CN" w:bidi="ar-SA"/>
            </w:rPr>
          </w:pPr>
          <w:r>
            <w:rPr>
              <w:rFonts w:hint="eastAsia" w:ascii="仿宋" w:hAnsi="仿宋" w:eastAsia="仿宋" w:cs="Times New Roman"/>
              <w:b/>
              <w:kern w:val="0"/>
              <w:sz w:val="36"/>
              <w:szCs w:val="20"/>
              <w:lang w:val="en-US" w:eastAsia="zh-CN" w:bidi="ar-SA"/>
            </w:rPr>
            <w:fldChar w:fldCharType="begin"/>
          </w:r>
          <w:r>
            <w:rPr>
              <w:rFonts w:hint="eastAsia" w:ascii="仿宋" w:hAnsi="仿宋" w:eastAsia="仿宋" w:cs="Times New Roman"/>
              <w:b/>
              <w:kern w:val="0"/>
              <w:sz w:val="36"/>
              <w:szCs w:val="20"/>
              <w:lang w:val="en-US" w:eastAsia="zh-CN" w:bidi="ar-SA"/>
            </w:rPr>
            <w:instrText xml:space="preserve"> HYPERLINK \l _Toc22170 </w:instrText>
          </w:r>
          <w:r>
            <w:rPr>
              <w:rFonts w:hint="eastAsia" w:ascii="仿宋" w:hAnsi="仿宋" w:eastAsia="仿宋" w:cs="Times New Roman"/>
              <w:b/>
              <w:kern w:val="0"/>
              <w:sz w:val="36"/>
              <w:szCs w:val="20"/>
              <w:lang w:val="en-US" w:eastAsia="zh-CN" w:bidi="ar-SA"/>
            </w:rPr>
            <w:fldChar w:fldCharType="separate"/>
          </w:r>
          <w:r>
            <w:rPr>
              <w:rFonts w:hint="eastAsia" w:ascii="仿宋" w:hAnsi="仿宋" w:eastAsia="仿宋" w:cs="Times New Roman"/>
              <w:b/>
              <w:kern w:val="0"/>
              <w:sz w:val="36"/>
              <w:szCs w:val="20"/>
              <w:lang w:val="en-US" w:eastAsia="zh-CN" w:bidi="ar-SA"/>
            </w:rPr>
            <w:t>第四部分 名词解释</w:t>
          </w:r>
          <w:r>
            <w:rPr>
              <w:rFonts w:hint="eastAsia" w:ascii="仿宋" w:hAnsi="仿宋" w:eastAsia="仿宋" w:cs="Times New Roman"/>
              <w:b/>
              <w:kern w:val="0"/>
              <w:sz w:val="36"/>
              <w:szCs w:val="20"/>
              <w:lang w:val="en-US" w:eastAsia="zh-CN" w:bidi="ar-SA"/>
            </w:rPr>
            <w:tab/>
          </w:r>
          <w:r>
            <w:rPr>
              <w:rFonts w:hint="eastAsia" w:ascii="仿宋" w:hAnsi="仿宋" w:eastAsia="仿宋" w:cs="Times New Roman"/>
              <w:b/>
              <w:kern w:val="0"/>
              <w:sz w:val="36"/>
              <w:szCs w:val="20"/>
              <w:lang w:val="en-US" w:eastAsia="zh-CN" w:bidi="ar-SA"/>
            </w:rPr>
            <w:fldChar w:fldCharType="begin"/>
          </w:r>
          <w:r>
            <w:rPr>
              <w:rFonts w:hint="eastAsia" w:ascii="仿宋" w:hAnsi="仿宋" w:eastAsia="仿宋" w:cs="Times New Roman"/>
              <w:b/>
              <w:kern w:val="0"/>
              <w:sz w:val="36"/>
              <w:szCs w:val="20"/>
              <w:lang w:val="en-US" w:eastAsia="zh-CN" w:bidi="ar-SA"/>
            </w:rPr>
            <w:instrText xml:space="preserve"> PAGEREF _Toc22170 \h </w:instrText>
          </w:r>
          <w:r>
            <w:rPr>
              <w:rFonts w:hint="eastAsia" w:ascii="仿宋" w:hAnsi="仿宋" w:eastAsia="仿宋" w:cs="Times New Roman"/>
              <w:b/>
              <w:kern w:val="0"/>
              <w:sz w:val="36"/>
              <w:szCs w:val="20"/>
              <w:lang w:val="en-US" w:eastAsia="zh-CN" w:bidi="ar-SA"/>
            </w:rPr>
            <w:fldChar w:fldCharType="separate"/>
          </w:r>
          <w:r>
            <w:rPr>
              <w:rFonts w:hint="eastAsia" w:ascii="仿宋" w:hAnsi="仿宋" w:eastAsia="仿宋" w:cs="Times New Roman"/>
              <w:b/>
              <w:kern w:val="0"/>
              <w:sz w:val="36"/>
              <w:szCs w:val="20"/>
              <w:lang w:val="en-US" w:eastAsia="zh-CN" w:bidi="ar-SA"/>
            </w:rPr>
            <w:t>29</w:t>
          </w:r>
          <w:r>
            <w:rPr>
              <w:rFonts w:hint="eastAsia" w:ascii="仿宋" w:hAnsi="仿宋" w:eastAsia="仿宋" w:cs="Times New Roman"/>
              <w:b/>
              <w:kern w:val="0"/>
              <w:sz w:val="36"/>
              <w:szCs w:val="20"/>
              <w:lang w:val="en-US" w:eastAsia="zh-CN" w:bidi="ar-SA"/>
            </w:rPr>
            <w:fldChar w:fldCharType="end"/>
          </w:r>
          <w:r>
            <w:rPr>
              <w:rFonts w:hint="eastAsia" w:ascii="仿宋" w:hAnsi="仿宋" w:eastAsia="仿宋" w:cs="Times New Roman"/>
              <w:b/>
              <w:kern w:val="0"/>
              <w:sz w:val="36"/>
              <w:szCs w:val="20"/>
              <w:lang w:val="en-US" w:eastAsia="zh-CN" w:bidi="ar-SA"/>
            </w:rPr>
            <w:fldChar w:fldCharType="end"/>
          </w:r>
        </w:p>
        <w:p>
          <w:r>
            <w:rPr>
              <w:b/>
            </w:rPr>
            <w:fldChar w:fldCharType="end"/>
          </w:r>
        </w:p>
      </w:sdtContent>
    </w:sdt>
    <w:p>
      <w:pPr>
        <w:widowControl/>
      </w:pPr>
      <w:r>
        <w:tab/>
      </w:r>
    </w:p>
    <w:p>
      <w:pPr>
        <w:widowControl/>
        <w:spacing w:line="240" w:lineRule="auto"/>
        <w:jc w:val="left"/>
        <w:rPr>
          <w:rFonts w:ascii="黑体" w:hAnsi="黑体" w:eastAsia="黑体" w:cs="Times New Roman"/>
          <w:kern w:val="0"/>
          <w:sz w:val="36"/>
          <w:szCs w:val="36"/>
        </w:rPr>
      </w:pPr>
      <w:r>
        <w:rPr>
          <w:rFonts w:ascii="黑体" w:hAnsi="黑体" w:eastAsia="黑体"/>
          <w:sz w:val="36"/>
          <w:szCs w:val="36"/>
        </w:rPr>
        <w:br w:type="page"/>
      </w: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left"/>
        <w:outlineLvl w:val="0"/>
        <w:rPr>
          <w:rFonts w:ascii="黑体" w:hAnsi="黑体" w:eastAsia="黑体"/>
          <w:sz w:val="56"/>
          <w:szCs w:val="36"/>
          <w:lang w:eastAsia="zh-CN"/>
        </w:rPr>
      </w:pPr>
      <w:bookmarkStart w:id="0" w:name="_Toc13745"/>
      <w:r>
        <w:rPr>
          <w:rFonts w:hint="eastAsia" w:ascii="黑体" w:hAnsi="黑体" w:eastAsia="黑体"/>
          <w:sz w:val="56"/>
          <w:szCs w:val="36"/>
          <w:lang w:eastAsia="zh-CN"/>
        </w:rPr>
        <w:t>第一部分</w:t>
      </w:r>
      <w:r>
        <w:rPr>
          <w:rFonts w:ascii="黑体" w:hAnsi="黑体" w:eastAsia="黑体"/>
          <w:sz w:val="56"/>
          <w:szCs w:val="36"/>
          <w:lang w:eastAsia="zh-CN"/>
        </w:rPr>
        <w:t xml:space="preserve"> </w:t>
      </w:r>
      <w:r>
        <w:rPr>
          <w:rFonts w:hint="eastAsia" w:ascii="黑体" w:hAnsi="黑体" w:eastAsia="黑体"/>
          <w:sz w:val="56"/>
          <w:szCs w:val="36"/>
          <w:lang w:eastAsia="zh-CN"/>
        </w:rPr>
        <w:t>部门概况</w:t>
      </w:r>
      <w:bookmarkEnd w:id="0"/>
    </w:p>
    <w:p>
      <w:pPr>
        <w:pStyle w:val="5"/>
        <w:rPr>
          <w:rFonts w:ascii="黑体" w:hAnsi="黑体" w:eastAsia="黑体"/>
          <w:sz w:val="36"/>
          <w:szCs w:val="36"/>
          <w:lang w:eastAsia="zh-CN"/>
        </w:rPr>
      </w:pPr>
    </w:p>
    <w:p>
      <w:pPr>
        <w:pStyle w:val="5"/>
        <w:rPr>
          <w:rFonts w:ascii="黑体" w:hAnsi="黑体" w:eastAsia="黑体" w:cstheme="minorBidi"/>
          <w:kern w:val="2"/>
          <w:sz w:val="32"/>
          <w:szCs w:val="32"/>
          <w:lang w:eastAsia="zh-CN"/>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pPr>
        <w:pStyle w:val="5"/>
        <w:outlineLvl w:val="1"/>
        <w:rPr>
          <w:rFonts w:ascii="黑体" w:hAnsi="黑体" w:eastAsia="黑体" w:cstheme="minorBidi"/>
          <w:b w:val="0"/>
          <w:kern w:val="2"/>
          <w:sz w:val="32"/>
          <w:szCs w:val="32"/>
          <w:lang w:eastAsia="zh-CN"/>
        </w:rPr>
      </w:pPr>
      <w:bookmarkStart w:id="1" w:name="_Toc14570"/>
      <w:r>
        <w:rPr>
          <w:rFonts w:hint="eastAsia" w:ascii="黑体" w:hAnsi="黑体" w:eastAsia="黑体" w:cstheme="minorBidi"/>
          <w:b w:val="0"/>
          <w:kern w:val="2"/>
          <w:sz w:val="32"/>
          <w:szCs w:val="32"/>
          <w:lang w:eastAsia="zh-CN"/>
        </w:rPr>
        <w:t>一、部门主要职责</w:t>
      </w:r>
      <w:bookmarkEnd w:id="1"/>
    </w:p>
    <w:p>
      <w:pPr>
        <w:keepNext w:val="0"/>
        <w:keepLines w:val="0"/>
        <w:widowControl/>
        <w:suppressLineNumbers w:val="0"/>
        <w:adjustRightInd w:val="0"/>
        <w:snapToGrid w:val="0"/>
        <w:spacing w:before="0" w:beforeAutospacing="0" w:after="0" w:afterAutospacing="0" w:line="580" w:lineRule="atLeast"/>
        <w:ind w:left="0" w:right="0" w:firstLine="640" w:firstLineChars="200"/>
        <w:jc w:val="left"/>
        <w:rPr>
          <w:rFonts w:hint="eastAsia" w:ascii="仿宋" w:hAnsi="仿宋" w:eastAsia="仿宋" w:cs="仿宋"/>
          <w:kern w:val="0"/>
          <w:sz w:val="32"/>
          <w:szCs w:val="32"/>
        </w:rPr>
      </w:pPr>
      <w:bookmarkStart w:id="2" w:name="_Toc7328"/>
      <w:r>
        <w:rPr>
          <w:rFonts w:hint="eastAsia" w:ascii="仿宋" w:hAnsi="仿宋" w:eastAsia="仿宋" w:cs="仿宋"/>
          <w:kern w:val="0"/>
          <w:sz w:val="32"/>
          <w:szCs w:val="32"/>
        </w:rPr>
        <w:t xml:space="preserve">福州市鼓楼区商务局部门的主要职责是：  </w:t>
      </w:r>
    </w:p>
    <w:p>
      <w:pPr>
        <w:keepNext w:val="0"/>
        <w:keepLines w:val="0"/>
        <w:widowControl/>
        <w:suppressLineNumbers w:val="0"/>
        <w:adjustRightInd w:val="0"/>
        <w:snapToGrid w:val="0"/>
        <w:spacing w:before="0" w:beforeAutospacing="0" w:after="0" w:afterAutospacing="0" w:line="580" w:lineRule="atLeast"/>
        <w:ind w:left="0" w:right="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一)贯彻执行国家有关贸易、国际经济合作的法律、法规和政策，研究提出我区商务规章、政策与国际经贸条约、规则之间的衔接意见；监测分析内贸、外贸经济运行状况，研究内贸、外贸体制和经济运行中的重大问题并提出建议。</w:t>
      </w:r>
    </w:p>
    <w:p>
      <w:pPr>
        <w:keepNext w:val="0"/>
        <w:keepLines w:val="0"/>
        <w:widowControl/>
        <w:suppressLineNumbers w:val="0"/>
        <w:adjustRightInd w:val="0"/>
        <w:snapToGrid w:val="0"/>
        <w:spacing w:before="0" w:beforeAutospacing="0" w:after="0" w:afterAutospacing="0" w:line="580" w:lineRule="atLeast"/>
        <w:ind w:left="0" w:right="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二)负责流通行业管理、促进工作，推进流通体制改革、流通产业结构调整、商贸物流中心和体系的建设；组织实施现代物流产业发展规划，推进连锁经营、物流配送、电子商务等现代流通方式发展，促进流通标准化；负责拍卖、再生资源流通、原油成品油流通等特殊流通领域的行业管理。</w:t>
      </w:r>
    </w:p>
    <w:p>
      <w:pPr>
        <w:keepNext w:val="0"/>
        <w:keepLines w:val="0"/>
        <w:widowControl/>
        <w:suppressLineNumbers w:val="0"/>
        <w:adjustRightInd w:val="0"/>
        <w:snapToGrid w:val="0"/>
        <w:spacing w:before="0" w:beforeAutospacing="0" w:after="0" w:afterAutospacing="0" w:line="580" w:lineRule="atLeast"/>
        <w:ind w:left="0" w:right="0" w:firstLine="640" w:firstLineChars="200"/>
        <w:jc w:val="left"/>
        <w:rPr>
          <w:rFonts w:hint="eastAsia" w:ascii="仿宋" w:hAnsi="仿宋" w:eastAsia="仿宋" w:cs="仿宋"/>
          <w:kern w:val="0"/>
          <w:sz w:val="32"/>
          <w:szCs w:val="32"/>
          <w:lang w:eastAsia="zh-CN"/>
        </w:rPr>
      </w:pPr>
      <w:r>
        <w:rPr>
          <w:rFonts w:hint="eastAsia" w:ascii="仿宋" w:hAnsi="仿宋" w:eastAsia="仿宋" w:cs="仿宋"/>
          <w:kern w:val="0"/>
          <w:sz w:val="32"/>
          <w:szCs w:val="32"/>
        </w:rPr>
        <w:t>(三)组织实施引导资金投向市场体系建设的政策措施，组织实施省、市、区财政性资金安排的市场体系建设重大投资项目，指导辖区内商业网点规划编制与实施；推进城乡市场体系建设和改造升级。</w:t>
      </w:r>
    </w:p>
    <w:p>
      <w:pPr>
        <w:keepNext w:val="0"/>
        <w:keepLines w:val="0"/>
        <w:widowControl/>
        <w:suppressLineNumbers w:val="0"/>
        <w:adjustRightInd w:val="0"/>
        <w:snapToGrid w:val="0"/>
        <w:spacing w:before="0" w:beforeAutospacing="0" w:after="0" w:afterAutospacing="0" w:line="580" w:lineRule="atLeast"/>
        <w:ind w:left="0" w:right="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四)负责商品市场运行调控和商务领域消费促进工作；拟订商品市场运行调节的政策措施，监测分析商品市场供求状况，组织实施重要消费品市场调控和重要生产资料流通管理，建立健全生活必需品市场供应应急管理机制；负责菜篮子工程规划、建设、管理，保障市场蔬菜、副食品供应工作。</w:t>
      </w:r>
    </w:p>
    <w:p>
      <w:pPr>
        <w:adjustRightInd w:val="0"/>
        <w:snapToGrid w:val="0"/>
        <w:spacing w:line="580" w:lineRule="atLeast"/>
        <w:ind w:firstLine="640" w:firstLineChars="200"/>
        <w:rPr>
          <w:rFonts w:ascii="仿宋" w:hAnsi="仿宋" w:eastAsia="仿宋" w:cs="Times New Roman"/>
          <w:sz w:val="32"/>
          <w:szCs w:val="32"/>
        </w:rPr>
      </w:pPr>
      <w:r>
        <w:rPr>
          <w:rFonts w:ascii="仿宋" w:hAnsi="仿宋" w:eastAsia="仿宋" w:cs="仿宋"/>
          <w:sz w:val="32"/>
          <w:szCs w:val="32"/>
        </w:rPr>
        <w:t>(</w:t>
      </w:r>
      <w:r>
        <w:rPr>
          <w:rFonts w:hint="eastAsia" w:ascii="仿宋" w:hAnsi="仿宋" w:eastAsia="仿宋" w:cs="仿宋"/>
          <w:sz w:val="32"/>
          <w:szCs w:val="32"/>
        </w:rPr>
        <w:t>五</w:t>
      </w:r>
      <w:r>
        <w:rPr>
          <w:rFonts w:ascii="仿宋" w:hAnsi="仿宋" w:eastAsia="仿宋" w:cs="仿宋"/>
          <w:sz w:val="32"/>
          <w:szCs w:val="32"/>
        </w:rPr>
        <w:t>)</w:t>
      </w:r>
      <w:r>
        <w:rPr>
          <w:rFonts w:hint="eastAsia" w:ascii="仿宋" w:hAnsi="仿宋" w:eastAsia="仿宋" w:cs="仿宋"/>
          <w:sz w:val="32"/>
          <w:szCs w:val="32"/>
        </w:rPr>
        <w:t>负责协调全区整顿和规范市场经济秩序工作；负责组织开展商务领域综合行政执法；推动商贸行业精神文明建设和商务领域信用建设。</w:t>
      </w:r>
    </w:p>
    <w:p>
      <w:pPr>
        <w:keepNext w:val="0"/>
        <w:keepLines w:val="0"/>
        <w:widowControl/>
        <w:suppressLineNumbers w:val="0"/>
        <w:adjustRightInd w:val="0"/>
        <w:snapToGrid w:val="0"/>
        <w:spacing w:before="0" w:beforeAutospacing="0" w:after="0" w:afterAutospacing="0" w:line="580" w:lineRule="atLeast"/>
        <w:ind w:left="0" w:right="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(六)组织实施全区会展行业发展规划、行业发展政策和法规；负责会展业管理和促进</w:t>
      </w:r>
      <w:r>
        <w:rPr>
          <w:rFonts w:hint="eastAsia" w:ascii="仿宋" w:hAnsi="仿宋" w:eastAsia="仿宋" w:cs="仿宋"/>
          <w:kern w:val="0"/>
          <w:sz w:val="32"/>
          <w:szCs w:val="32"/>
          <w:lang w:eastAsia="zh-CN"/>
        </w:rPr>
        <w:t>工作</w:t>
      </w:r>
      <w:r>
        <w:rPr>
          <w:rFonts w:hint="eastAsia" w:ascii="仿宋" w:hAnsi="仿宋" w:eastAsia="仿宋" w:cs="仿宋"/>
          <w:kern w:val="0"/>
          <w:sz w:val="32"/>
          <w:szCs w:val="32"/>
        </w:rPr>
        <w:t>，建立健全管理运行机制。</w:t>
      </w:r>
    </w:p>
    <w:p>
      <w:pPr>
        <w:keepNext w:val="0"/>
        <w:keepLines w:val="0"/>
        <w:widowControl/>
        <w:suppressLineNumbers w:val="0"/>
        <w:adjustRightInd w:val="0"/>
        <w:snapToGrid w:val="0"/>
        <w:spacing w:before="0" w:beforeAutospacing="0" w:after="0" w:afterAutospacing="0" w:line="580" w:lineRule="atLeast"/>
        <w:ind w:left="0" w:right="0"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七)负责组织实施电子商务开拓市场的政策措施、规范；建立适应电子商务快速发展的管理体制，完善跨部门电子商务工作协作机制，建立电子商务公共服务体系和信用体系，指导推动电子商务发展和应用，重点推进网络零售、跨境贸易和生活服务等领域电子贸易。</w:t>
      </w:r>
    </w:p>
    <w:p>
      <w:pPr>
        <w:keepNext w:val="0"/>
        <w:keepLines w:val="0"/>
        <w:widowControl/>
        <w:suppressLineNumbers w:val="0"/>
        <w:adjustRightInd w:val="0"/>
        <w:snapToGrid w:val="0"/>
        <w:spacing w:before="0" w:beforeAutospacing="0" w:after="0" w:afterAutospacing="0" w:line="580" w:lineRule="atLeast"/>
        <w:ind w:left="0" w:right="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(八)贯彻执行进出口商品、加工贸易管理办法和进出口商品、技术目录，拟订促进我区外贸发展方式转变的政策措施；指导国际品牌体系建设和出口商品基地建设。</w:t>
      </w:r>
    </w:p>
    <w:p>
      <w:pPr>
        <w:keepNext w:val="0"/>
        <w:keepLines w:val="0"/>
        <w:widowControl/>
        <w:suppressLineNumbers w:val="0"/>
        <w:adjustRightInd w:val="0"/>
        <w:snapToGrid w:val="0"/>
        <w:spacing w:before="0" w:beforeAutospacing="0" w:after="0" w:afterAutospacing="0" w:line="580" w:lineRule="atLeast"/>
        <w:ind w:left="0" w:right="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九)贯彻执行对外技术贸易、进出口管制以及鼓励技术和成套设备出口的政策，推进进出口贸易标准化工作，依法监督技术引进、设备进口、国家限制出口技术工作；负责服务贸易发展促进，组织实施服务贸易开拓市场的政策措施，指导服务外包示范城市、示范园区、重点企业等平台建设和服务外包人才培训工作。负责商贸服务业(含餐饮业、住宿业及有关生活服务业)促进工作。</w:t>
      </w:r>
    </w:p>
    <w:p>
      <w:pPr>
        <w:keepNext w:val="0"/>
        <w:keepLines w:val="0"/>
        <w:widowControl/>
        <w:suppressLineNumbers w:val="0"/>
        <w:adjustRightInd w:val="0"/>
        <w:snapToGrid w:val="0"/>
        <w:spacing w:before="0" w:beforeAutospacing="0" w:after="0" w:afterAutospacing="0" w:line="580" w:lineRule="atLeast"/>
        <w:ind w:left="0" w:right="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十)负责组织协调反倾销、反补贴、保障措施及其他与进出口公平贸易相关的工作，建立进出口公平贸易预警机制；指导国外技术性贸易壁垒应对工作，协助开展对外贸易调查和产业损害调查；指导协调产业安全应对工作，承担企业境外投资贸易活动钓权益保护工作。</w:t>
      </w:r>
    </w:p>
    <w:p>
      <w:pPr>
        <w:keepNext w:val="0"/>
        <w:keepLines w:val="0"/>
        <w:widowControl/>
        <w:suppressLineNumbers w:val="0"/>
        <w:adjustRightInd w:val="0"/>
        <w:snapToGrid w:val="0"/>
        <w:spacing w:before="0" w:beforeAutospacing="0" w:after="0" w:afterAutospacing="0" w:line="580" w:lineRule="atLeast"/>
        <w:ind w:left="0" w:right="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(十一)负责对外经济合作工作；依法管理和监督境外投资、对外承包工程、对外劳务合作等活动；承担境外劳务人员的权益保护工作，牵头处置境外劳务纠纷和突发事件协助做好多双边援助和对外援助工作。</w:t>
      </w:r>
    </w:p>
    <w:p>
      <w:pPr>
        <w:keepNext w:val="0"/>
        <w:keepLines w:val="0"/>
        <w:widowControl/>
        <w:suppressLineNumbers w:val="0"/>
        <w:adjustRightInd w:val="0"/>
        <w:snapToGrid w:val="0"/>
        <w:spacing w:before="0" w:beforeAutospacing="0" w:after="0" w:afterAutospacing="0" w:line="580" w:lineRule="atLeast"/>
        <w:ind w:left="0" w:right="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十二)综合协调全区招商引资和投资促进工作；拟定全区招商引资、投资促进年度工作计划并组织实施；负责全区各部门、街（镇、园区）招商引资成果的统计和考核；负责全区招商信息管理系统的建设、运行；协助有关部门做好招商人才培养和引进工作；负责招商项目的综合协调、跟踪推进和督促指导；负责全区招商引资政策、投资环境的宣传推介；组织协调大型招商活动；编制全区投资指南、招商项目资料库和重点客商名录库；负责全区招商信息的发布；承担重要投资客商的接待工作。</w:t>
      </w:r>
    </w:p>
    <w:p>
      <w:pPr>
        <w:keepNext w:val="0"/>
        <w:keepLines w:val="0"/>
        <w:widowControl/>
        <w:suppressLineNumbers w:val="0"/>
        <w:adjustRightInd w:val="0"/>
        <w:snapToGrid w:val="0"/>
        <w:spacing w:before="0" w:beforeAutospacing="0" w:after="0" w:afterAutospacing="0" w:line="580" w:lineRule="atLeast"/>
        <w:ind w:left="0" w:right="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(十三)贯彻执行国家、省、市对台湾地区和香港、澳门特别行政区的经贸规划、政策，深化我区与台、港、澳地区的经贸联系，协调推进与台、港、澳投资贸易与合作，参与处理多双边经贸领域的涉台问题。</w:t>
      </w:r>
    </w:p>
    <w:p>
      <w:pPr>
        <w:keepNext w:val="0"/>
        <w:keepLines w:val="0"/>
        <w:widowControl/>
        <w:suppressLineNumbers w:val="0"/>
        <w:adjustRightInd w:val="0"/>
        <w:snapToGrid w:val="0"/>
        <w:spacing w:before="0" w:beforeAutospacing="0" w:after="0" w:afterAutospacing="0" w:line="580" w:lineRule="atLeast"/>
        <w:ind w:left="0" w:right="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(十四)贯彻执行国别(地区)、多双边、区域次区域经贸合作战略和政策；推进我区与其他国家(地区)多双边经贸往来与投资贸易合作，协调解决国际投资贸易中的具体问题。</w:t>
      </w:r>
    </w:p>
    <w:p>
      <w:pPr>
        <w:keepNext w:val="0"/>
        <w:keepLines w:val="0"/>
        <w:widowControl/>
        <w:suppressLineNumbers w:val="0"/>
        <w:adjustRightInd w:val="0"/>
        <w:snapToGrid w:val="0"/>
        <w:spacing w:before="0" w:beforeAutospacing="0" w:after="0" w:afterAutospacing="0" w:line="580" w:lineRule="atLeast"/>
        <w:ind w:left="0" w:right="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(十</w:t>
      </w:r>
      <w:r>
        <w:rPr>
          <w:rFonts w:hint="eastAsia" w:ascii="仿宋" w:hAnsi="仿宋" w:eastAsia="仿宋" w:cs="仿宋"/>
          <w:kern w:val="0"/>
          <w:sz w:val="32"/>
          <w:szCs w:val="32"/>
          <w:lang w:eastAsia="zh-CN"/>
        </w:rPr>
        <w:t>五</w:t>
      </w:r>
      <w:r>
        <w:rPr>
          <w:rFonts w:hint="eastAsia" w:ascii="仿宋" w:hAnsi="仿宋" w:eastAsia="仿宋" w:cs="仿宋"/>
          <w:kern w:val="0"/>
          <w:sz w:val="32"/>
          <w:szCs w:val="32"/>
        </w:rPr>
        <w:t>)负责做好自贸试验区福州片区涉及鼓楼区相关工作的衔接。</w:t>
      </w:r>
    </w:p>
    <w:p>
      <w:pPr>
        <w:keepNext w:val="0"/>
        <w:keepLines w:val="0"/>
        <w:widowControl/>
        <w:suppressLineNumbers w:val="0"/>
        <w:adjustRightInd w:val="0"/>
        <w:snapToGrid w:val="0"/>
        <w:spacing w:before="0" w:beforeAutospacing="0" w:after="0" w:afterAutospacing="0" w:line="580" w:lineRule="atLeast"/>
        <w:ind w:left="0" w:right="0" w:firstLine="640" w:firstLineChars="200"/>
        <w:jc w:val="left"/>
        <w:rPr>
          <w:rFonts w:hint="eastAsia" w:ascii="仿宋" w:hAnsi="仿宋" w:eastAsia="仿宋" w:cs="仿宋"/>
          <w:sz w:val="32"/>
          <w:szCs w:val="32"/>
          <w:highlight w:val="none"/>
        </w:rPr>
      </w:pPr>
      <w:r>
        <w:rPr>
          <w:rFonts w:ascii="仿宋" w:hAnsi="仿宋" w:eastAsia="仿宋" w:cs="仿宋"/>
          <w:sz w:val="32"/>
          <w:szCs w:val="32"/>
          <w:highlight w:val="none"/>
        </w:rPr>
        <w:t>(</w:t>
      </w:r>
      <w:r>
        <w:rPr>
          <w:rFonts w:hint="eastAsia" w:ascii="仿宋" w:hAnsi="仿宋" w:eastAsia="仿宋" w:cs="仿宋"/>
          <w:sz w:val="32"/>
          <w:szCs w:val="32"/>
          <w:highlight w:val="none"/>
        </w:rPr>
        <w:t>十</w:t>
      </w:r>
      <w:r>
        <w:rPr>
          <w:rFonts w:hint="eastAsia" w:ascii="仿宋" w:hAnsi="仿宋" w:eastAsia="仿宋" w:cs="仿宋"/>
          <w:sz w:val="32"/>
          <w:szCs w:val="32"/>
          <w:highlight w:val="none"/>
          <w:lang w:eastAsia="zh-CN"/>
        </w:rPr>
        <w:t>六</w:t>
      </w:r>
      <w:r>
        <w:rPr>
          <w:rFonts w:ascii="仿宋" w:hAnsi="仿宋" w:eastAsia="仿宋" w:cs="仿宋"/>
          <w:sz w:val="32"/>
          <w:szCs w:val="32"/>
          <w:highlight w:val="none"/>
        </w:rPr>
        <w:t>)</w:t>
      </w:r>
      <w:r>
        <w:rPr>
          <w:rFonts w:hint="eastAsia" w:ascii="仿宋" w:hAnsi="仿宋" w:eastAsia="仿宋" w:cs="仿宋"/>
          <w:sz w:val="32"/>
          <w:szCs w:val="32"/>
          <w:highlight w:val="none"/>
        </w:rPr>
        <w:t>负责区农作物种子生产经营许可、食用菌菌种生产经营许可、种畜禽生产经营许可、农业植物检疫证书核发、农业植物产地检疫合格证签发等行政审批职能。</w:t>
      </w:r>
    </w:p>
    <w:p>
      <w:pPr>
        <w:keepNext w:val="0"/>
        <w:keepLines w:val="0"/>
        <w:widowControl/>
        <w:suppressLineNumbers w:val="0"/>
        <w:adjustRightInd w:val="0"/>
        <w:snapToGrid w:val="0"/>
        <w:spacing w:before="0" w:beforeAutospacing="0" w:after="0" w:afterAutospacing="0" w:line="580" w:lineRule="atLeast"/>
        <w:ind w:left="0" w:right="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(十</w:t>
      </w:r>
      <w:r>
        <w:rPr>
          <w:rFonts w:hint="eastAsia" w:ascii="仿宋" w:hAnsi="仿宋" w:eastAsia="仿宋" w:cs="仿宋"/>
          <w:kern w:val="0"/>
          <w:sz w:val="32"/>
          <w:szCs w:val="32"/>
          <w:lang w:eastAsia="zh-CN"/>
        </w:rPr>
        <w:t>七</w:t>
      </w:r>
      <w:r>
        <w:rPr>
          <w:rFonts w:hint="eastAsia" w:ascii="仿宋" w:hAnsi="仿宋" w:eastAsia="仿宋" w:cs="仿宋"/>
          <w:kern w:val="0"/>
          <w:sz w:val="32"/>
          <w:szCs w:val="32"/>
        </w:rPr>
        <w:t>）承担协调社会各界有关单位挂钩帮扶工作以及沿海与山区县(市)区对口协作工作。</w:t>
      </w:r>
    </w:p>
    <w:p>
      <w:pPr>
        <w:keepNext w:val="0"/>
        <w:keepLines w:val="0"/>
        <w:widowControl/>
        <w:suppressLineNumbers w:val="0"/>
        <w:adjustRightInd w:val="0"/>
        <w:snapToGrid w:val="0"/>
        <w:spacing w:before="0" w:beforeAutospacing="0" w:after="0" w:afterAutospacing="0" w:line="580" w:lineRule="atLeast"/>
        <w:ind w:left="0" w:right="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(十</w:t>
      </w:r>
      <w:r>
        <w:rPr>
          <w:rFonts w:hint="eastAsia" w:ascii="仿宋" w:hAnsi="仿宋" w:eastAsia="仿宋" w:cs="仿宋"/>
          <w:kern w:val="0"/>
          <w:sz w:val="32"/>
          <w:szCs w:val="32"/>
          <w:lang w:eastAsia="zh-CN"/>
        </w:rPr>
        <w:t>八</w:t>
      </w:r>
      <w:r>
        <w:rPr>
          <w:rFonts w:hint="eastAsia" w:ascii="仿宋" w:hAnsi="仿宋" w:eastAsia="仿宋" w:cs="仿宋"/>
          <w:kern w:val="0"/>
          <w:sz w:val="32"/>
          <w:szCs w:val="32"/>
        </w:rPr>
        <w:t>)承办区委、区政府交办的其他事项。</w:t>
      </w:r>
    </w:p>
    <w:p>
      <w:pPr>
        <w:pStyle w:val="5"/>
        <w:outlineLvl w:val="1"/>
        <w:rPr>
          <w:rFonts w:hint="eastAsia" w:ascii="黑体" w:hAnsi="黑体" w:eastAsia="黑体" w:cstheme="minorBidi"/>
          <w:b w:val="0"/>
          <w:kern w:val="2"/>
          <w:sz w:val="32"/>
          <w:szCs w:val="32"/>
          <w:lang w:eastAsia="zh-CN"/>
        </w:rPr>
      </w:pPr>
      <w:r>
        <w:rPr>
          <w:rFonts w:hint="eastAsia" w:ascii="黑体" w:hAnsi="黑体" w:eastAsia="黑体" w:cstheme="minorBidi"/>
          <w:b w:val="0"/>
          <w:kern w:val="2"/>
          <w:sz w:val="32"/>
          <w:szCs w:val="32"/>
          <w:lang w:eastAsia="zh-CN"/>
        </w:rPr>
        <w:t>二、部门预算单位构成</w:t>
      </w:r>
      <w:bookmarkEnd w:id="2"/>
    </w:p>
    <w:p>
      <w:pPr>
        <w:pStyle w:val="5"/>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仿宋" w:hAnsi="仿宋" w:eastAsia="仿宋" w:cs="Times New Roman"/>
          <w:kern w:val="0"/>
          <w:sz w:val="32"/>
          <w:szCs w:val="32"/>
        </w:rPr>
      </w:pPr>
      <w:r>
        <w:rPr>
          <w:rFonts w:hint="eastAsia" w:ascii="仿宋" w:hAnsi="仿宋" w:eastAsia="仿宋" w:cs="仿宋"/>
          <w:kern w:val="0"/>
          <w:sz w:val="32"/>
          <w:szCs w:val="32"/>
        </w:rPr>
        <w:t>从决算单位构成看，福州市鼓楼区商务局</w:t>
      </w:r>
      <w:r>
        <w:rPr>
          <w:rFonts w:hint="eastAsia" w:ascii="仿宋" w:hAnsi="仿宋" w:eastAsia="仿宋" w:cs="仿宋"/>
          <w:kern w:val="0"/>
          <w:sz w:val="32"/>
          <w:szCs w:val="32"/>
          <w:lang w:eastAsia="zh-CN"/>
        </w:rPr>
        <w:t>本级</w:t>
      </w:r>
      <w:r>
        <w:rPr>
          <w:rFonts w:hint="eastAsia" w:ascii="仿宋" w:hAnsi="仿宋" w:eastAsia="仿宋" w:cs="仿宋"/>
          <w:kern w:val="0"/>
          <w:sz w:val="32"/>
          <w:szCs w:val="32"/>
        </w:rPr>
        <w:t>部门包括</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个机关行政处（科）室及</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个下属单位，其中：列入202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年部门决算编制范围的单位详细情况见下表: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7"/>
        <w:gridCol w:w="156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44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600" w:lineRule="exact"/>
              <w:ind w:left="0" w:right="0"/>
              <w:jc w:val="center"/>
              <w:rPr>
                <w:rFonts w:hint="eastAsia" w:ascii="仿宋" w:hAnsi="仿宋" w:eastAsia="仿宋" w:cs="仿宋_GB2312"/>
                <w:kern w:val="0"/>
                <w:sz w:val="32"/>
                <w:szCs w:val="32"/>
              </w:rPr>
            </w:pPr>
            <w:r>
              <w:rPr>
                <w:rFonts w:hint="eastAsia" w:ascii="仿宋" w:hAnsi="仿宋" w:eastAsia="仿宋" w:cs="仿宋"/>
                <w:kern w:val="0"/>
                <w:sz w:val="32"/>
                <w:szCs w:val="32"/>
              </w:rPr>
              <w:t>单位名称</w:t>
            </w: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600" w:lineRule="exact"/>
              <w:ind w:left="0" w:right="0"/>
              <w:jc w:val="center"/>
              <w:rPr>
                <w:rFonts w:hint="eastAsia" w:ascii="仿宋" w:hAnsi="仿宋" w:eastAsia="仿宋" w:cs="仿宋_GB2312"/>
                <w:kern w:val="0"/>
                <w:sz w:val="32"/>
                <w:szCs w:val="32"/>
              </w:rPr>
            </w:pPr>
            <w:r>
              <w:rPr>
                <w:rFonts w:hint="eastAsia" w:ascii="仿宋" w:hAnsi="仿宋" w:eastAsia="仿宋" w:cs="仿宋"/>
                <w:kern w:val="0"/>
                <w:sz w:val="32"/>
                <w:szCs w:val="32"/>
              </w:rPr>
              <w:t>单位性质</w:t>
            </w:r>
          </w:p>
        </w:tc>
        <w:tc>
          <w:tcPr>
            <w:tcW w:w="157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line="600" w:lineRule="exact"/>
              <w:ind w:left="0" w:right="0"/>
              <w:jc w:val="center"/>
              <w:rPr>
                <w:rFonts w:hint="eastAsia" w:ascii="仿宋" w:hAnsi="仿宋" w:eastAsia="仿宋" w:cs="仿宋_GB2312"/>
                <w:kern w:val="0"/>
                <w:sz w:val="32"/>
                <w:szCs w:val="32"/>
              </w:rPr>
            </w:pPr>
            <w:r>
              <w:rPr>
                <w:rFonts w:hint="eastAsia" w:ascii="仿宋" w:hAnsi="仿宋" w:eastAsia="仿宋" w:cs="仿宋"/>
                <w:kern w:val="0"/>
                <w:sz w:val="32"/>
                <w:szCs w:val="32"/>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adjustRightInd w:val="0"/>
              <w:snapToGrid w:val="0"/>
              <w:spacing w:before="100" w:beforeAutospacing="1" w:after="100" w:afterAutospacing="1" w:line="600" w:lineRule="exact"/>
              <w:ind w:right="0"/>
              <w:jc w:val="left"/>
              <w:rPr>
                <w:rFonts w:hint="eastAsia" w:ascii="仿宋" w:hAnsi="仿宋" w:eastAsia="仿宋" w:cs="仿宋"/>
                <w:kern w:val="0"/>
                <w:sz w:val="32"/>
                <w:szCs w:val="32"/>
              </w:rPr>
            </w:pPr>
            <w:r>
              <w:rPr>
                <w:rFonts w:hint="eastAsia" w:ascii="仿宋" w:hAnsi="仿宋" w:eastAsia="仿宋" w:cs="仿宋"/>
                <w:kern w:val="0"/>
                <w:sz w:val="32"/>
                <w:szCs w:val="32"/>
              </w:rPr>
              <w:t>福州市鼓楼区商务局本级</w:t>
            </w:r>
          </w:p>
        </w:tc>
        <w:tc>
          <w:tcPr>
            <w:tcW w:w="1560"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100" w:beforeAutospacing="1" w:after="100" w:afterAutospacing="1" w:line="600" w:lineRule="exact"/>
              <w:ind w:right="0"/>
              <w:jc w:val="center"/>
              <w:rPr>
                <w:rFonts w:hint="eastAsia" w:ascii="仿宋" w:hAnsi="仿宋" w:eastAsia="仿宋" w:cs="仿宋"/>
                <w:kern w:val="0"/>
                <w:sz w:val="32"/>
                <w:szCs w:val="32"/>
              </w:rPr>
            </w:pPr>
            <w:r>
              <w:rPr>
                <w:rFonts w:hint="eastAsia" w:ascii="仿宋" w:hAnsi="仿宋" w:eastAsia="仿宋" w:cs="仿宋"/>
                <w:kern w:val="0"/>
                <w:sz w:val="32"/>
                <w:szCs w:val="32"/>
              </w:rPr>
              <w:t>行政</w:t>
            </w:r>
          </w:p>
        </w:tc>
        <w:tc>
          <w:tcPr>
            <w:tcW w:w="1574"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100" w:beforeAutospacing="1" w:after="100" w:afterAutospacing="1" w:line="600" w:lineRule="exact"/>
              <w:ind w:right="0"/>
              <w:jc w:val="center"/>
              <w:rPr>
                <w:rFonts w:hint="eastAsia" w:ascii="仿宋" w:hAnsi="仿宋" w:eastAsia="仿宋" w:cs="仿宋"/>
                <w:kern w:val="0"/>
                <w:sz w:val="32"/>
                <w:szCs w:val="32"/>
              </w:rPr>
            </w:pPr>
            <w:r>
              <w:rPr>
                <w:rFonts w:hint="eastAsia" w:ascii="仿宋" w:hAnsi="仿宋" w:eastAsia="仿宋" w:cs="仿宋"/>
                <w:kern w:val="0"/>
                <w:sz w:val="32"/>
                <w:szCs w:val="32"/>
              </w:rPr>
              <w:t>8人</w:t>
            </w:r>
          </w:p>
        </w:tc>
      </w:tr>
    </w:tbl>
    <w:p>
      <w:pPr>
        <w:tabs>
          <w:tab w:val="left" w:pos="7513"/>
        </w:tabs>
        <w:adjustRightInd w:val="0"/>
        <w:snapToGrid w:val="0"/>
        <w:spacing w:line="600" w:lineRule="exact"/>
        <w:outlineLvl w:val="1"/>
        <w:rPr>
          <w:rFonts w:ascii="黑体" w:hAnsi="黑体" w:eastAsia="黑体"/>
          <w:b w:val="0"/>
          <w:sz w:val="32"/>
          <w:szCs w:val="32"/>
        </w:rPr>
      </w:pPr>
      <w:bookmarkStart w:id="3" w:name="_Toc31311"/>
      <w:r>
        <w:rPr>
          <w:rFonts w:hint="eastAsia" w:ascii="黑体" w:hAnsi="黑体" w:eastAsia="黑体" w:cstheme="minorBidi"/>
          <w:b w:val="0"/>
          <w:kern w:val="2"/>
          <w:sz w:val="32"/>
          <w:szCs w:val="32"/>
          <w:lang w:eastAsia="zh-CN"/>
        </w:rPr>
        <w:t>三、部门主要工作任务</w:t>
      </w:r>
      <w:bookmarkEnd w:id="3"/>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b w:val="0"/>
          <w:bCs/>
          <w:i w:val="0"/>
          <w:caps w:val="0"/>
          <w:color w:val="auto"/>
          <w:spacing w:val="0"/>
          <w:w w:val="100"/>
          <w:kern w:val="2"/>
          <w:sz w:val="32"/>
          <w:szCs w:val="32"/>
          <w:highlight w:val="none"/>
          <w:lang w:eastAsia="zh-Hans" w:bidi="ar-SA"/>
        </w:rPr>
      </w:pPr>
      <w:r>
        <w:rPr>
          <w:rFonts w:hint="eastAsia" w:ascii="楷体_GB2312" w:hAnsi="楷体_GB2312" w:eastAsia="楷体_GB2312" w:cs="楷体_GB2312"/>
          <w:color w:val="auto"/>
          <w:sz w:val="32"/>
          <w:szCs w:val="32"/>
          <w:highlight w:val="none"/>
          <w:lang w:eastAsia="zh-CN"/>
        </w:rPr>
        <w:t>（一）推动商务经济指标争先进位。</w:t>
      </w:r>
      <w:r>
        <w:rPr>
          <w:rFonts w:hint="eastAsia" w:ascii="仿宋_GB2312" w:hAnsi="仿宋_GB2312" w:eastAsia="仿宋_GB2312" w:cs="仿宋_GB2312"/>
          <w:b/>
          <w:bCs/>
          <w:color w:val="auto"/>
          <w:sz w:val="32"/>
          <w:szCs w:val="32"/>
          <w:highlight w:val="none"/>
          <w:lang w:val="en-US" w:eastAsia="zh-CN"/>
        </w:rPr>
        <w:t>内贸方面</w:t>
      </w:r>
      <w:r>
        <w:rPr>
          <w:rFonts w:hint="eastAsia" w:ascii="仿宋_GB2312" w:hAnsi="仿宋_GB2312" w:eastAsia="仿宋_GB2312" w:cs="仿宋_GB2312"/>
          <w:color w:val="auto"/>
          <w:sz w:val="32"/>
          <w:szCs w:val="32"/>
          <w:highlight w:val="none"/>
          <w:lang w:val="en-US" w:eastAsia="zh-CN"/>
        </w:rPr>
        <w:t>，持续做好企业走访、服务，切实落实各项惠企政策，</w:t>
      </w:r>
      <w:r>
        <w:rPr>
          <w:rFonts w:hint="eastAsia" w:ascii="仿宋_GB2312" w:hAnsi="仿宋_GB2312" w:eastAsia="仿宋_GB2312" w:cs="仿宋_GB2312"/>
          <w:color w:val="auto"/>
          <w:sz w:val="32"/>
          <w:szCs w:val="32"/>
          <w:highlight w:val="none"/>
          <w:lang w:val="en-US" w:eastAsia="zh-Hans"/>
        </w:rPr>
        <w:t>推动</w:t>
      </w:r>
      <w:r>
        <w:rPr>
          <w:rFonts w:hint="eastAsia" w:ascii="仿宋_GB2312" w:hAnsi="仿宋_GB2312" w:eastAsia="仿宋_GB2312" w:cs="仿宋_GB2312"/>
          <w:color w:val="auto"/>
          <w:sz w:val="32"/>
          <w:szCs w:val="32"/>
          <w:highlight w:val="none"/>
          <w:lang w:val="en-US" w:eastAsia="zh-CN"/>
        </w:rPr>
        <w:t>新增提升，</w:t>
      </w:r>
      <w:r>
        <w:rPr>
          <w:rFonts w:hint="eastAsia" w:ascii="仿宋_GB2312" w:hAnsi="仿宋_GB2312" w:eastAsia="仿宋_GB2312" w:cs="仿宋_GB2312"/>
          <w:color w:val="auto"/>
          <w:sz w:val="32"/>
          <w:szCs w:val="32"/>
          <w:highlight w:val="none"/>
          <w:lang w:val="en-US" w:eastAsia="zh-Hans"/>
        </w:rPr>
        <w:t>持续推进</w:t>
      </w:r>
      <w:r>
        <w:rPr>
          <w:rFonts w:hint="eastAsia" w:ascii="仿宋_GB2312" w:hAnsi="仿宋_GB2312" w:eastAsia="仿宋_GB2312" w:cs="仿宋_GB2312"/>
          <w:color w:val="auto"/>
          <w:sz w:val="32"/>
          <w:szCs w:val="32"/>
          <w:highlight w:val="none"/>
          <w:lang w:val="en-US" w:eastAsia="zh-CN"/>
        </w:rPr>
        <w:t>全区供应链平台经济产业链</w:t>
      </w:r>
      <w:r>
        <w:rPr>
          <w:rFonts w:hint="eastAsia" w:ascii="仿宋_GB2312" w:hAnsi="仿宋_GB2312" w:eastAsia="仿宋_GB2312" w:cs="仿宋_GB2312"/>
          <w:color w:val="auto"/>
          <w:sz w:val="32"/>
          <w:szCs w:val="32"/>
          <w:highlight w:val="none"/>
          <w:lang w:val="en-US" w:eastAsia="zh-Hans"/>
        </w:rPr>
        <w:t>创新发展</w:t>
      </w:r>
      <w:r>
        <w:rPr>
          <w:rFonts w:hint="eastAsia" w:ascii="仿宋_GB2312" w:hAnsi="仿宋" w:eastAsia="仿宋_GB2312" w:cs="Times New Roman"/>
          <w:b w:val="0"/>
          <w:bCs w:val="0"/>
          <w:color w:val="auto"/>
          <w:sz w:val="32"/>
          <w:szCs w:val="32"/>
          <w:highlight w:val="none"/>
          <w:lang w:val="en-US" w:eastAsia="zh-CN"/>
        </w:rPr>
        <w:t>；</w:t>
      </w:r>
      <w:r>
        <w:rPr>
          <w:rFonts w:hint="eastAsia" w:ascii="仿宋_GB2312" w:hAnsi="仿宋" w:eastAsia="仿宋_GB2312" w:cs="Times New Roman"/>
          <w:b/>
          <w:bCs/>
          <w:color w:val="auto"/>
          <w:kern w:val="2"/>
          <w:sz w:val="32"/>
          <w:szCs w:val="32"/>
          <w:highlight w:val="none"/>
          <w:lang w:val="en-US" w:eastAsia="zh-CN" w:bidi="ar-SA"/>
        </w:rPr>
        <w:t>外贸出口方面，</w:t>
      </w:r>
      <w:r>
        <w:rPr>
          <w:rFonts w:hint="eastAsia" w:ascii="仿宋_GB2312" w:hAnsi="Calibri" w:eastAsia="仿宋_GB2312" w:cs="Times New Roman"/>
          <w:b w:val="0"/>
          <w:bCs/>
          <w:color w:val="auto"/>
          <w:kern w:val="2"/>
          <w:sz w:val="32"/>
          <w:szCs w:val="32"/>
          <w:highlight w:val="none"/>
          <w:lang w:val="en-US" w:eastAsia="zh-CN" w:bidi="ar-SA"/>
        </w:rPr>
        <w:t>创新外贸扶持方式，力争打造外贸供应链金融服务生态体系。通过对龙头外贸企业融资成本的利息部分进行补助等政策，降低融资财务成本，扶持榕江进出口、优拓贸易等本土大型外贸企业向外贸供应链平台企业转型，利用辖区内金融机构集聚，国际物流企业，小微外贸经营主体、省属国企众多等优势，营造促进外贸供应链金融发展的生态体系，赋能外贸高质量发展；</w:t>
      </w:r>
      <w:r>
        <w:rPr>
          <w:rFonts w:hint="eastAsia" w:ascii="仿宋_GB2312" w:hAnsi="仿宋" w:eastAsia="仿宋_GB2312" w:cs="Times New Roman"/>
          <w:b/>
          <w:bCs/>
          <w:color w:val="auto"/>
          <w:kern w:val="2"/>
          <w:sz w:val="32"/>
          <w:szCs w:val="32"/>
          <w:highlight w:val="none"/>
          <w:lang w:val="en-US" w:eastAsia="zh-CN" w:bidi="ar-SA"/>
        </w:rPr>
        <w:t>实际利用外资方面，</w:t>
      </w:r>
      <w:r>
        <w:rPr>
          <w:rFonts w:hint="eastAsia" w:ascii="仿宋_GB2312" w:hAnsi="Calibri" w:eastAsia="仿宋_GB2312" w:cs="Times New Roman"/>
          <w:b w:val="0"/>
          <w:bCs/>
          <w:color w:val="auto"/>
          <w:kern w:val="2"/>
          <w:sz w:val="32"/>
          <w:szCs w:val="32"/>
          <w:highlight w:val="none"/>
          <w:lang w:val="en-US" w:eastAsia="zh-CN" w:bidi="ar-SA"/>
        </w:rPr>
        <w:t>走访福建创想之海投资项目、福州盈通博远一号等外资项目，加大力度</w:t>
      </w:r>
      <w:r>
        <w:rPr>
          <w:rFonts w:hint="eastAsia" w:ascii="仿宋_GB2312" w:hAnsi="仿宋_GB2312" w:eastAsia="仿宋_GB2312" w:cs="仿宋_GB2312"/>
          <w:color w:val="auto"/>
          <w:sz w:val="32"/>
          <w:szCs w:val="32"/>
          <w:highlight w:val="none"/>
          <w:lang w:val="en-US" w:eastAsia="zh-CN"/>
        </w:rPr>
        <w:t>促到资</w:t>
      </w:r>
      <w:r>
        <w:rPr>
          <w:rFonts w:hint="default"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鼓励企业以利润再投资、已登记外债转增注册资本、外资并购等多种方式利用外资</w:t>
      </w:r>
      <w:r>
        <w:rPr>
          <w:rFonts w:hint="default" w:ascii="仿宋_GB2312" w:hAnsi="仿宋_GB2312" w:eastAsia="仿宋_GB2312" w:cs="仿宋_GB2312"/>
          <w:color w:val="auto"/>
          <w:sz w:val="32"/>
          <w:szCs w:val="32"/>
          <w:highlight w:val="none"/>
          <w:lang w:eastAsia="zh-CN"/>
        </w:rPr>
        <w:t>；</w:t>
      </w:r>
      <w:r>
        <w:rPr>
          <w:rFonts w:hint="eastAsia" w:ascii="仿宋_GB2312" w:hAnsi="楷体_GB2312" w:eastAsia="仿宋_GB2312" w:cs="楷体_GB2312"/>
          <w:color w:val="auto"/>
          <w:kern w:val="2"/>
          <w:sz w:val="32"/>
          <w:szCs w:val="32"/>
          <w:highlight w:val="none"/>
          <w:lang w:val="en-US" w:eastAsia="zh-CN" w:bidi="ar-SA"/>
        </w:rPr>
        <w:t>紧盯誉凯健康科技赴境外上市进展，争取将境外融资资金投回国内；积极宣传省市稳外资等相关政策，提升企业到资信心。</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color w:val="auto"/>
          <w:sz w:val="32"/>
          <w:szCs w:val="40"/>
          <w:highlight w:val="none"/>
          <w:lang w:val="en-US" w:eastAsia="zh-CN"/>
        </w:rPr>
      </w:pPr>
      <w:r>
        <w:rPr>
          <w:rFonts w:hint="eastAsia" w:ascii="楷体_GB2312" w:hAnsi="楷体_GB2312" w:eastAsia="楷体_GB2312" w:cs="楷体_GB2312"/>
          <w:color w:val="auto"/>
          <w:kern w:val="2"/>
          <w:sz w:val="32"/>
          <w:szCs w:val="32"/>
          <w:highlight w:val="none"/>
          <w:lang w:val="en-US" w:eastAsia="zh-CN" w:bidi="ar-SA"/>
        </w:rPr>
        <w:t>（二）打造“国际范”消费区。</w:t>
      </w:r>
      <w:r>
        <w:rPr>
          <w:rFonts w:hint="eastAsia" w:ascii="仿宋_GB2312" w:hAnsi="仿宋_GB2312" w:eastAsia="仿宋_GB2312" w:cs="仿宋_GB2312"/>
          <w:b/>
          <w:bCs/>
          <w:color w:val="auto"/>
          <w:sz w:val="32"/>
          <w:szCs w:val="32"/>
          <w:highlight w:val="none"/>
          <w:lang w:val="en-US" w:eastAsia="zh-CN"/>
        </w:rPr>
        <w:t>一是打造两艘“消费旗舰”，</w:t>
      </w:r>
      <w:r>
        <w:rPr>
          <w:rFonts w:hint="eastAsia" w:ascii="仿宋_GB2312" w:hAnsi="仿宋_GB2312" w:eastAsia="仿宋_GB2312" w:cs="仿宋_GB2312"/>
          <w:color w:val="auto"/>
          <w:sz w:val="32"/>
          <w:szCs w:val="32"/>
          <w:highlight w:val="none"/>
          <w:lang w:val="en-US" w:eastAsia="zh-CN"/>
        </w:rPr>
        <w:t>结合智慧商圈建设，打造东街口商圈为“闽派文化之源，福建消费旗舰”，打造万象城商圈为“国际重奢旗舰”；</w:t>
      </w:r>
      <w:r>
        <w:rPr>
          <w:rFonts w:hint="eastAsia" w:ascii="仿宋_GB2312" w:hAnsi="仿宋_GB2312" w:eastAsia="仿宋_GB2312" w:cs="仿宋_GB2312"/>
          <w:b/>
          <w:bCs/>
          <w:color w:val="auto"/>
          <w:sz w:val="32"/>
          <w:szCs w:val="32"/>
          <w:highlight w:val="none"/>
          <w:lang w:val="en-US" w:eastAsia="zh-CN"/>
        </w:rPr>
        <w:t>二是培育消费“第三极”，</w:t>
      </w:r>
      <w:r>
        <w:rPr>
          <w:rFonts w:hint="eastAsia" w:ascii="仿宋_GB2312" w:hAnsi="仿宋_GB2312" w:eastAsia="仿宋_GB2312" w:cs="仿宋_GB2312"/>
          <w:color w:val="auto"/>
          <w:sz w:val="32"/>
          <w:szCs w:val="32"/>
          <w:highlight w:val="none"/>
          <w:lang w:val="en-US" w:eastAsia="zh-CN"/>
        </w:rPr>
        <w:t>结合地铁经济建设，保障酒店、购物中心和办公楼三位一体的香格里拉中心开业运营，打造我区商业消费“第三极”；</w:t>
      </w:r>
      <w:r>
        <w:rPr>
          <w:rFonts w:hint="eastAsia" w:ascii="仿宋_GB2312" w:hAnsi="仿宋_GB2312" w:eastAsia="仿宋_GB2312" w:cs="仿宋_GB2312"/>
          <w:b/>
          <w:bCs/>
          <w:color w:val="auto"/>
          <w:sz w:val="32"/>
          <w:szCs w:val="32"/>
          <w:highlight w:val="none"/>
          <w:lang w:val="en-US" w:eastAsia="zh-CN"/>
        </w:rPr>
        <w:t>三是引培“双百”品牌</w:t>
      </w:r>
      <w:r>
        <w:rPr>
          <w:rFonts w:hint="eastAsia" w:ascii="仿宋_GB2312" w:hAnsi="仿宋_GB2312" w:eastAsia="仿宋_GB2312" w:cs="仿宋_GB2312"/>
          <w:color w:val="auto"/>
          <w:sz w:val="32"/>
          <w:szCs w:val="32"/>
          <w:highlight w:val="none"/>
          <w:lang w:val="en-US" w:eastAsia="zh-CN"/>
        </w:rPr>
        <w:t>。全年新引进国际一线品牌、各类首店、旗舰店、形象店品牌、首展、首秀、艺术展100家（场）以上，创建老字号、“闽菜馆”、“闽菜推荐示范餐厅”、大众茶馆等各类福品品牌门店总数增至100家以上。</w:t>
      </w:r>
      <w:r>
        <w:rPr>
          <w:rFonts w:hint="eastAsia" w:ascii="仿宋_GB2312" w:hAnsi="仿宋_GB2312" w:eastAsia="仿宋_GB2312" w:cs="仿宋_GB2312"/>
          <w:b/>
          <w:bCs/>
          <w:color w:val="auto"/>
          <w:sz w:val="32"/>
          <w:szCs w:val="32"/>
          <w:highlight w:val="none"/>
          <w:lang w:val="en-US" w:eastAsia="zh-CN"/>
        </w:rPr>
        <w:t>四是开展千场活动。</w:t>
      </w:r>
      <w:r>
        <w:rPr>
          <w:rFonts w:hint="eastAsia" w:ascii="仿宋_GB2312" w:hAnsi="仿宋_GB2312" w:eastAsia="仿宋_GB2312" w:cs="仿宋_GB2312"/>
          <w:b w:val="0"/>
          <w:bCs w:val="0"/>
          <w:color w:val="auto"/>
          <w:sz w:val="32"/>
          <w:szCs w:val="32"/>
          <w:highlight w:val="none"/>
          <w:lang w:val="en-US" w:eastAsia="zh-CN"/>
        </w:rPr>
        <w:t>策划</w:t>
      </w:r>
      <w:r>
        <w:rPr>
          <w:rFonts w:hint="default" w:ascii="仿宋_GB2312" w:hAnsi="仿宋_GB2312" w:eastAsia="仿宋_GB2312" w:cs="仿宋_GB2312"/>
          <w:color w:val="auto"/>
          <w:sz w:val="32"/>
          <w:szCs w:val="32"/>
          <w:highlight w:val="none"/>
          <w:lang w:val="en-US" w:eastAsia="zh-CN"/>
        </w:rPr>
        <w:t>举办“东街口嘉年华”</w:t>
      </w:r>
      <w:r>
        <w:rPr>
          <w:rFonts w:hint="eastAsia" w:ascii="仿宋_GB2312" w:hAnsi="仿宋_GB2312" w:eastAsia="仿宋_GB2312" w:cs="仿宋_GB2312"/>
          <w:color w:val="auto"/>
          <w:sz w:val="32"/>
          <w:szCs w:val="32"/>
          <w:highlight w:val="none"/>
          <w:lang w:val="en-US" w:eastAsia="zh-CN"/>
        </w:rPr>
        <w:t>“数字生活节”</w:t>
      </w:r>
      <w:r>
        <w:rPr>
          <w:rFonts w:hint="default"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lang w:val="en-US" w:eastAsia="zh-CN"/>
        </w:rPr>
        <w:t>主题</w:t>
      </w:r>
      <w:r>
        <w:rPr>
          <w:rFonts w:hint="default" w:ascii="仿宋_GB2312" w:hAnsi="仿宋_GB2312" w:eastAsia="仿宋_GB2312" w:cs="仿宋_GB2312"/>
          <w:color w:val="auto"/>
          <w:sz w:val="32"/>
          <w:szCs w:val="32"/>
          <w:highlight w:val="none"/>
          <w:lang w:val="en-US" w:eastAsia="zh-CN"/>
        </w:rPr>
        <w:t>商业活动，</w:t>
      </w:r>
      <w:r>
        <w:rPr>
          <w:rFonts w:hint="eastAsia" w:ascii="仿宋_GB2312" w:hAnsi="仿宋_GB2312" w:eastAsia="仿宋_GB2312" w:cs="仿宋_GB2312"/>
          <w:color w:val="auto"/>
          <w:sz w:val="32"/>
          <w:szCs w:val="32"/>
          <w:highlight w:val="none"/>
          <w:lang w:val="en-US" w:eastAsia="zh-CN"/>
        </w:rPr>
        <w:t>高效审批商户开展户外促销活动，</w:t>
      </w:r>
      <w:r>
        <w:rPr>
          <w:rFonts w:hint="default" w:ascii="仿宋_GB2312" w:hAnsi="仿宋_GB2312" w:eastAsia="仿宋_GB2312" w:cs="仿宋_GB2312"/>
          <w:color w:val="auto"/>
          <w:sz w:val="32"/>
          <w:szCs w:val="32"/>
          <w:highlight w:val="none"/>
          <w:lang w:val="en-US" w:eastAsia="zh-CN"/>
        </w:rPr>
        <w:t>支持企业</w:t>
      </w:r>
      <w:r>
        <w:rPr>
          <w:rFonts w:hint="eastAsia" w:ascii="仿宋_GB2312" w:hAnsi="仿宋_GB2312" w:eastAsia="仿宋_GB2312" w:cs="仿宋_GB2312"/>
          <w:color w:val="auto"/>
          <w:sz w:val="32"/>
          <w:szCs w:val="32"/>
          <w:highlight w:val="none"/>
          <w:lang w:val="en-US" w:eastAsia="zh-CN"/>
        </w:rPr>
        <w:t>全年举办</w:t>
      </w:r>
      <w:r>
        <w:rPr>
          <w:rFonts w:hint="default" w:ascii="仿宋_GB2312" w:hAnsi="仿宋_GB2312" w:eastAsia="仿宋_GB2312" w:cs="仿宋_GB2312"/>
          <w:color w:val="auto"/>
          <w:sz w:val="32"/>
          <w:szCs w:val="32"/>
          <w:highlight w:val="none"/>
          <w:lang w:val="en-US" w:eastAsia="zh-CN"/>
        </w:rPr>
        <w:t>促消费活动超过1000场。</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黑体" w:eastAsia="仿宋_GB2312"/>
          <w:bCs/>
          <w:color w:val="auto"/>
          <w:sz w:val="32"/>
          <w:szCs w:val="32"/>
          <w:highlight w:val="none"/>
        </w:rPr>
      </w:pPr>
      <w:r>
        <w:rPr>
          <w:rFonts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eastAsia="zh-Hans"/>
        </w:rPr>
        <w:t>三</w:t>
      </w:r>
      <w:r>
        <w:rPr>
          <w:rFonts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rPr>
        <w:t>做强“服务链”串起“招商链”</w:t>
      </w:r>
      <w:r>
        <w:rPr>
          <w:rFonts w:ascii="黑体" w:hAnsi="黑体" w:eastAsia="黑体" w:cs="黑体"/>
          <w:color w:val="auto"/>
          <w:sz w:val="32"/>
          <w:szCs w:val="32"/>
          <w:highlight w:val="none"/>
        </w:rPr>
        <w:t>。</w:t>
      </w:r>
      <w:r>
        <w:rPr>
          <w:rFonts w:hint="eastAsia" w:ascii="仿宋_GB2312" w:hAnsi="仿宋_GB2312" w:eastAsia="仿宋_GB2312" w:cs="仿宋_GB2312"/>
          <w:b/>
          <w:bCs/>
          <w:color w:val="auto"/>
          <w:sz w:val="32"/>
          <w:szCs w:val="40"/>
          <w:highlight w:val="none"/>
        </w:rPr>
        <w:t>一是围绕重点载体实施精准招商。</w:t>
      </w:r>
      <w:r>
        <w:rPr>
          <w:rFonts w:hint="eastAsia" w:ascii="仿宋_GB2312" w:hAnsi="仿宋_GB2312" w:eastAsia="仿宋_GB2312" w:cs="仿宋_GB2312"/>
          <w:color w:val="auto"/>
          <w:sz w:val="32"/>
          <w:szCs w:val="40"/>
          <w:highlight w:val="none"/>
        </w:rPr>
        <w:t>立足“两中心、五平台”载体资源优势，主攻“5+2”重点产业链，通过外出招商、举办专场推介活动等形式，精准对接引进符合我区发展定位的行业龙头产业项目；</w:t>
      </w:r>
      <w:r>
        <w:rPr>
          <w:rFonts w:hint="eastAsia" w:ascii="仿宋_GB2312" w:hAnsi="仿宋_GB2312" w:eastAsia="仿宋_GB2312" w:cs="仿宋_GB2312"/>
          <w:b/>
          <w:bCs/>
          <w:color w:val="auto"/>
          <w:sz w:val="32"/>
          <w:szCs w:val="40"/>
          <w:highlight w:val="none"/>
        </w:rPr>
        <w:t>二是优化“鼓楼招商助手”平台。</w:t>
      </w:r>
      <w:r>
        <w:rPr>
          <w:rFonts w:hint="eastAsia" w:ascii="仿宋_GB2312" w:hAnsi="仿宋_GB2312" w:eastAsia="仿宋_GB2312" w:cs="仿宋_GB2312"/>
          <w:color w:val="auto"/>
          <w:sz w:val="32"/>
          <w:szCs w:val="40"/>
          <w:highlight w:val="none"/>
        </w:rPr>
        <w:t>实现项目全过程数字化跟踪管理和数据分析研判，促进招商工作标准化、制度化、程序化。</w:t>
      </w:r>
      <w:r>
        <w:rPr>
          <w:rFonts w:hint="eastAsia" w:ascii="仿宋_GB2312" w:hAnsi="仿宋_GB2312" w:eastAsia="仿宋_GB2312" w:cs="仿宋_GB2312"/>
          <w:b/>
          <w:bCs/>
          <w:color w:val="auto"/>
          <w:sz w:val="32"/>
          <w:szCs w:val="40"/>
          <w:highlight w:val="none"/>
          <w:lang w:eastAsia="zh-CN"/>
        </w:rPr>
        <w:t>三</w:t>
      </w:r>
      <w:r>
        <w:rPr>
          <w:rFonts w:hint="eastAsia" w:ascii="仿宋_GB2312" w:hAnsi="仿宋_GB2312" w:eastAsia="仿宋_GB2312" w:cs="仿宋_GB2312"/>
          <w:b/>
          <w:bCs/>
          <w:color w:val="auto"/>
          <w:sz w:val="32"/>
          <w:szCs w:val="40"/>
          <w:highlight w:val="none"/>
        </w:rPr>
        <w:t>是推动低空经济产业发展。</w:t>
      </w:r>
      <w:r>
        <w:rPr>
          <w:rFonts w:hint="eastAsia" w:ascii="仿宋_GB2312" w:hAnsi="仿宋_GB2312" w:eastAsia="仿宋_GB2312" w:cs="仿宋_GB2312"/>
          <w:color w:val="auto"/>
          <w:sz w:val="32"/>
          <w:szCs w:val="40"/>
          <w:highlight w:val="none"/>
        </w:rPr>
        <w:t>围绕低空产业开展上下游生态链招商，在与中航金城数字低空产业前期合作成果的基础上，引进一批无人机生态链项目落地</w:t>
      </w:r>
      <w:r>
        <w:rPr>
          <w:rFonts w:hint="eastAsia" w:ascii="仿宋_GB2312" w:hAnsi="黑体" w:eastAsia="仿宋_GB2312"/>
          <w:bCs/>
          <w:color w:val="auto"/>
          <w:sz w:val="32"/>
          <w:szCs w:val="32"/>
          <w:highlight w:val="none"/>
        </w:rPr>
        <w:t>。</w:t>
      </w:r>
      <w:r>
        <w:rPr>
          <w:rFonts w:hint="eastAsia" w:ascii="仿宋_GB2312" w:hAnsi="黑体" w:eastAsia="仿宋_GB2312"/>
          <w:b/>
          <w:bCs/>
          <w:color w:val="auto"/>
          <w:sz w:val="32"/>
          <w:szCs w:val="32"/>
          <w:highlight w:val="none"/>
          <w:lang w:eastAsia="zh-CN"/>
        </w:rPr>
        <w:t>四</w:t>
      </w:r>
      <w:r>
        <w:rPr>
          <w:rFonts w:hint="eastAsia" w:ascii="仿宋_GB2312" w:hAnsi="黑体" w:eastAsia="仿宋_GB2312"/>
          <w:b/>
          <w:bCs/>
          <w:color w:val="auto"/>
          <w:sz w:val="32"/>
          <w:szCs w:val="32"/>
          <w:highlight w:val="none"/>
        </w:rPr>
        <w:t>是全力打造元宇宙产业集群</w:t>
      </w:r>
      <w:r>
        <w:rPr>
          <w:rFonts w:hint="eastAsia" w:ascii="仿宋_GB2312" w:hAnsi="仿宋_GB2312" w:eastAsia="仿宋_GB2312" w:cs="仿宋_GB2312"/>
          <w:b/>
          <w:bCs/>
          <w:color w:val="auto"/>
          <w:sz w:val="32"/>
          <w:szCs w:val="40"/>
          <w:highlight w:val="none"/>
        </w:rPr>
        <w:t>。</w:t>
      </w:r>
      <w:r>
        <w:rPr>
          <w:rFonts w:hint="eastAsia" w:ascii="仿宋_GB2312" w:hAnsi="黑体" w:eastAsia="仿宋_GB2312"/>
          <w:bCs/>
          <w:color w:val="auto"/>
          <w:sz w:val="32"/>
          <w:szCs w:val="32"/>
          <w:highlight w:val="none"/>
        </w:rPr>
        <w:t>依托福州市元宇宙产业创新基地资源优势，引进一批元宇宙产业生态企业，孵化一批元宇宙产业相关中小微科技企业。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楷体_GB2312" w:hAnsi="楷体_GB2312" w:eastAsia="楷体_GB2312" w:cs="楷体_GB2312"/>
          <w:color w:val="auto"/>
          <w:kern w:val="2"/>
          <w:sz w:val="32"/>
          <w:szCs w:val="32"/>
          <w:highlight w:val="none"/>
          <w:lang w:eastAsia="zh-CN" w:bidi="ar-SA"/>
        </w:rPr>
        <w:t>（</w:t>
      </w:r>
      <w:r>
        <w:rPr>
          <w:rFonts w:hint="eastAsia" w:ascii="楷体_GB2312" w:hAnsi="楷体_GB2312" w:eastAsia="楷体_GB2312" w:cs="楷体_GB2312"/>
          <w:color w:val="auto"/>
          <w:kern w:val="2"/>
          <w:sz w:val="32"/>
          <w:szCs w:val="32"/>
          <w:highlight w:val="none"/>
          <w:lang w:val="en-US" w:eastAsia="zh-Hans" w:bidi="ar-SA"/>
        </w:rPr>
        <w:t>四</w:t>
      </w:r>
      <w:r>
        <w:rPr>
          <w:rFonts w:hint="default" w:ascii="楷体_GB2312" w:hAnsi="楷体_GB2312" w:eastAsia="楷体_GB2312" w:cs="楷体_GB2312"/>
          <w:color w:val="auto"/>
          <w:kern w:val="2"/>
          <w:sz w:val="32"/>
          <w:szCs w:val="32"/>
          <w:highlight w:val="none"/>
          <w:lang w:eastAsia="zh-CN" w:bidi="ar-SA"/>
        </w:rPr>
        <w:t>）</w:t>
      </w:r>
      <w:r>
        <w:rPr>
          <w:rFonts w:hint="eastAsia" w:ascii="楷体_GB2312" w:hAnsi="楷体_GB2312" w:eastAsia="楷体_GB2312" w:cs="楷体_GB2312"/>
          <w:color w:val="auto"/>
          <w:sz w:val="32"/>
          <w:szCs w:val="32"/>
          <w:highlight w:val="none"/>
          <w:lang w:val="en-US" w:eastAsia="zh-CN"/>
        </w:rPr>
        <w:t>不断壮大线上经济规模和服务外包。</w:t>
      </w:r>
      <w:r>
        <w:rPr>
          <w:rFonts w:hint="eastAsia" w:ascii="仿宋_GB2312" w:hAnsi="仿宋_GB2312" w:eastAsia="仿宋_GB2312" w:cs="仿宋_GB2312"/>
          <w:color w:val="auto"/>
          <w:sz w:val="32"/>
          <w:szCs w:val="32"/>
          <w:highlight w:val="none"/>
          <w:lang w:val="en-US" w:eastAsia="zh-CN"/>
        </w:rPr>
        <w:t>引导商贸企业参加全闽乐购、直播带货等线上活动，引导跨境电商相关企业向产业承载区集聚，打造形成市级跨境电商园区</w:t>
      </w:r>
      <w:r>
        <w:rPr>
          <w:rFonts w:hint="default"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bidi="ar-SA"/>
        </w:rPr>
        <w:t>以服务外包新政策为抓手，鼓励企业开展服务外包承接项目。同时</w:t>
      </w:r>
      <w:r>
        <w:rPr>
          <w:rFonts w:hint="default" w:ascii="仿宋_GB2312" w:hAnsi="仿宋_GB2312" w:eastAsia="仿宋_GB2312" w:cs="仿宋_GB2312"/>
          <w:color w:val="auto"/>
          <w:kern w:val="2"/>
          <w:sz w:val="32"/>
          <w:szCs w:val="32"/>
          <w:highlight w:val="none"/>
          <w:lang w:eastAsia="zh-CN" w:bidi="ar-SA"/>
        </w:rPr>
        <w:t>，</w:t>
      </w:r>
      <w:r>
        <w:rPr>
          <w:rFonts w:hint="eastAsia" w:ascii="仿宋_GB2312" w:hAnsi="仿宋_GB2312" w:eastAsia="仿宋_GB2312" w:cs="仿宋_GB2312"/>
          <w:color w:val="auto"/>
          <w:sz w:val="32"/>
          <w:szCs w:val="32"/>
          <w:highlight w:val="none"/>
          <w:lang w:val="en-US" w:eastAsia="zh-CN"/>
        </w:rPr>
        <w:t>持续挖掘新增服务外包</w:t>
      </w:r>
      <w:r>
        <w:rPr>
          <w:rFonts w:hint="eastAsia" w:ascii="仿宋_GB2312" w:hAnsi="仿宋_GB2312" w:eastAsia="仿宋_GB2312" w:cs="仿宋_GB2312"/>
          <w:color w:val="auto"/>
          <w:kern w:val="2"/>
          <w:sz w:val="32"/>
          <w:szCs w:val="32"/>
          <w:highlight w:val="none"/>
          <w:lang w:val="en-US" w:eastAsia="zh-CN" w:bidi="ar-SA"/>
        </w:rPr>
        <w:t>企业，进一步培育壮大海峡技术转移中心、金牛山互联网产业园（云座）等服务外包产业。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eastAsia="zh-CN" w:bidi="ar-SA"/>
        </w:rPr>
        <w:t>（</w:t>
      </w:r>
      <w:r>
        <w:rPr>
          <w:rFonts w:hint="eastAsia" w:ascii="楷体_GB2312" w:hAnsi="楷体_GB2312" w:eastAsia="楷体_GB2312" w:cs="楷体_GB2312"/>
          <w:b w:val="0"/>
          <w:bCs w:val="0"/>
          <w:color w:val="auto"/>
          <w:kern w:val="2"/>
          <w:sz w:val="32"/>
          <w:szCs w:val="32"/>
          <w:highlight w:val="none"/>
          <w:lang w:val="en-US" w:eastAsia="zh-Hans" w:bidi="ar-SA"/>
        </w:rPr>
        <w:t>五</w:t>
      </w:r>
      <w:r>
        <w:rPr>
          <w:rFonts w:hint="eastAsia" w:ascii="楷体_GB2312" w:hAnsi="楷体_GB2312" w:eastAsia="楷体_GB2312" w:cs="楷体_GB2312"/>
          <w:b w:val="0"/>
          <w:bCs w:val="0"/>
          <w:color w:val="auto"/>
          <w:kern w:val="2"/>
          <w:sz w:val="32"/>
          <w:szCs w:val="32"/>
          <w:highlight w:val="none"/>
          <w:lang w:eastAsia="zh-CN" w:bidi="ar-SA"/>
        </w:rPr>
        <w:t>）</w:t>
      </w:r>
      <w:r>
        <w:rPr>
          <w:rFonts w:hint="eastAsia" w:ascii="楷体_GB2312" w:hAnsi="楷体_GB2312" w:eastAsia="楷体_GB2312" w:cs="楷体_GB2312"/>
          <w:b w:val="0"/>
          <w:bCs w:val="0"/>
          <w:color w:val="auto"/>
          <w:kern w:val="2"/>
          <w:sz w:val="32"/>
          <w:szCs w:val="32"/>
          <w:highlight w:val="none"/>
          <w:lang w:val="en-US" w:eastAsia="zh-CN" w:bidi="ar-SA"/>
        </w:rPr>
        <w:t>打造智慧农贸市场，创建星级文明集市</w:t>
      </w:r>
      <w:r>
        <w:rPr>
          <w:rFonts w:hint="default" w:ascii="楷体_GB2312" w:hAnsi="楷体_GB2312" w:eastAsia="楷体_GB2312" w:cs="楷体_GB2312"/>
          <w:b w:val="0"/>
          <w:bCs w:val="0"/>
          <w:color w:val="auto"/>
          <w:kern w:val="2"/>
          <w:sz w:val="32"/>
          <w:szCs w:val="32"/>
          <w:highlight w:val="none"/>
          <w:lang w:eastAsia="zh-CN" w:bidi="ar-SA"/>
        </w:rPr>
        <w:t>。</w:t>
      </w:r>
      <w:r>
        <w:rPr>
          <w:rFonts w:hint="eastAsia" w:ascii="仿宋_GB2312" w:hAnsi="仿宋_GB2312" w:eastAsia="仿宋_GB2312" w:cs="仿宋_GB2312"/>
          <w:color w:val="auto"/>
          <w:kern w:val="2"/>
          <w:sz w:val="32"/>
          <w:szCs w:val="32"/>
          <w:highlight w:val="none"/>
          <w:lang w:val="en-US" w:eastAsia="zh-CN" w:bidi="ar-SA"/>
        </w:rPr>
        <w:t>以福新农贸市场为试点，加强市场长效管理，强化市场运营者主体责任，将福新农贸市场《经营管理考核方案》等有效经验推广到辖区其他农贸市场，同时鼓励其他农贸市场向智慧农贸市场转型升级。同时，组织福新农贸市场、丰荣农贸市场参加2024年“星级文明集市”创建活动，进一步提升市场品质。</w:t>
      </w:r>
    </w:p>
    <w:p>
      <w:pPr>
        <w:ind w:firstLine="640" w:firstLineChars="200"/>
        <w:rPr>
          <w:rFonts w:ascii="仿宋" w:hAnsi="仿宋" w:eastAsia="仿宋" w:cs="仿宋_GB2312"/>
          <w:sz w:val="32"/>
          <w:szCs w:val="32"/>
        </w:rPr>
      </w:pPr>
    </w:p>
    <w:p>
      <w:pPr>
        <w:ind w:firstLine="640" w:firstLineChars="200"/>
        <w:rPr>
          <w:rFonts w:ascii="仿宋" w:hAnsi="仿宋" w:eastAsia="仿宋" w:cs="仿宋_GB2312"/>
          <w:sz w:val="32"/>
          <w:szCs w:val="32"/>
        </w:rPr>
      </w:pPr>
    </w:p>
    <w:p>
      <w:pPr>
        <w:pStyle w:val="5"/>
        <w:jc w:val="center"/>
        <w:rPr>
          <w:rFonts w:ascii="黑体" w:hAnsi="黑体" w:eastAsia="黑体"/>
          <w:sz w:val="36"/>
          <w:szCs w:val="36"/>
          <w:lang w:eastAsia="zh-CN"/>
        </w:rPr>
        <w:sectPr>
          <w:pgSz w:w="11906" w:h="16838"/>
          <w:pgMar w:top="1440" w:right="1800" w:bottom="1440" w:left="1800" w:header="851" w:footer="992" w:gutter="0"/>
          <w:cols w:space="425" w:num="1"/>
          <w:docGrid w:type="lines" w:linePitch="312" w:charSpace="0"/>
        </w:sect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left"/>
        <w:outlineLvl w:val="0"/>
        <w:rPr>
          <w:rFonts w:ascii="黑体" w:hAnsi="黑体" w:eastAsia="黑体"/>
          <w:sz w:val="56"/>
          <w:szCs w:val="36"/>
          <w:lang w:eastAsia="zh-CN"/>
        </w:rPr>
      </w:pPr>
      <w:bookmarkStart w:id="4" w:name="_Toc5117"/>
      <w:r>
        <w:rPr>
          <w:rFonts w:hint="eastAsia" w:ascii="黑体" w:hAnsi="黑体" w:eastAsia="黑体"/>
          <w:sz w:val="56"/>
          <w:szCs w:val="36"/>
          <w:lang w:eastAsia="zh-CN"/>
        </w:rPr>
        <w:t>第二部分</w:t>
      </w:r>
      <w:r>
        <w:rPr>
          <w:rFonts w:ascii="黑体" w:hAnsi="黑体" w:eastAsia="黑体"/>
          <w:sz w:val="56"/>
          <w:szCs w:val="36"/>
          <w:lang w:eastAsia="zh-CN"/>
        </w:rPr>
        <w:t xml:space="preserve"> </w:t>
      </w:r>
      <w:r>
        <w:rPr>
          <w:rFonts w:hint="eastAsia" w:ascii="黑体" w:hAnsi="黑体" w:eastAsia="黑体"/>
          <w:sz w:val="56"/>
          <w:szCs w:val="36"/>
          <w:lang w:val="en-US" w:eastAsia="zh-CN"/>
        </w:rPr>
        <w:t xml:space="preserve"> 2024</w:t>
      </w:r>
      <w:r>
        <w:rPr>
          <w:rFonts w:hint="eastAsia" w:ascii="黑体" w:hAnsi="黑体" w:eastAsia="黑体"/>
          <w:sz w:val="56"/>
          <w:szCs w:val="36"/>
          <w:lang w:eastAsia="zh-CN"/>
        </w:rPr>
        <w:t>年度部门预算表</w:t>
      </w:r>
      <w:bookmarkEnd w:id="4"/>
    </w:p>
    <w:p>
      <w:pPr>
        <w:tabs>
          <w:tab w:val="left" w:pos="7513"/>
        </w:tabs>
        <w:adjustRightInd w:val="0"/>
        <w:snapToGrid w:val="0"/>
        <w:spacing w:line="600" w:lineRule="exact"/>
        <w:rPr>
          <w:rFonts w:asciiTheme="majorEastAsia" w:hAnsiTheme="majorEastAsia" w:eastAsiaTheme="majorEastAsia"/>
          <w:sz w:val="36"/>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outlineLvl w:val="1"/>
        <w:rPr>
          <w:rFonts w:ascii="楷体" w:hAnsi="楷体" w:eastAsia="楷体"/>
          <w:sz w:val="28"/>
          <w:szCs w:val="28"/>
        </w:rPr>
      </w:pPr>
      <w:bookmarkStart w:id="5" w:name="_Toc1843"/>
      <w:r>
        <w:rPr>
          <w:rFonts w:hint="eastAsia" w:ascii="黑体" w:hAnsi="黑体" w:eastAsia="黑体" w:cstheme="minorBidi"/>
          <w:kern w:val="2"/>
          <w:sz w:val="32"/>
          <w:szCs w:val="32"/>
          <w:lang w:eastAsia="zh-CN"/>
        </w:rPr>
        <w:t>一、收支预算总表</w:t>
      </w:r>
      <w:bookmarkEnd w:id="5"/>
    </w:p>
    <w:tbl>
      <w:tblPr>
        <w:tblStyle w:val="1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36"/>
        <w:gridCol w:w="936"/>
        <w:gridCol w:w="2916"/>
        <w:gridCol w:w="1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0" w:type="auto"/>
            <w:gridSpan w:val="4"/>
            <w:tcBorders>
              <w:top w:val="nil"/>
              <w:left w:val="nil"/>
              <w:bottom w:val="nil"/>
              <w:right w:val="nil"/>
            </w:tcBorders>
            <w:shd w:val="clear" w:color="auto" w:fill="auto"/>
            <w:vAlign w:val="center"/>
          </w:tcPr>
          <w:p>
            <w:pPr>
              <w:jc w:val="center"/>
              <w:rPr>
                <w:rFonts w:ascii="宋体" w:hAnsi="宋体" w:eastAsia="宋体" w:cs="宋体"/>
                <w:i w:val="0"/>
                <w:iCs w:val="0"/>
                <w:color w:val="000000"/>
                <w:sz w:val="28"/>
                <w:szCs w:val="28"/>
                <w:u w:val="none"/>
              </w:rPr>
            </w:pPr>
            <w:r>
              <w:rPr>
                <w:rFonts w:hint="eastAsia" w:ascii="黑体" w:hAnsi="黑体" w:eastAsia="黑体"/>
                <w:sz w:val="32"/>
                <w:szCs w:val="32"/>
              </w:rPr>
              <w:br w:type="page"/>
            </w:r>
            <w:r>
              <w:rPr>
                <w:rFonts w:ascii="宋体" w:hAnsi="宋体" w:eastAsia="宋体" w:cs="宋体"/>
                <w:i w:val="0"/>
                <w:iCs w:val="0"/>
                <w:color w:val="000000"/>
                <w:kern w:val="0"/>
                <w:sz w:val="28"/>
                <w:szCs w:val="28"/>
                <w:u w:val="none"/>
                <w:lang w:val="en-US" w:eastAsia="zh-CN" w:bidi="ar"/>
              </w:rPr>
              <w:t>2024年度收支预算总表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收  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一、一般公共预算拨款收入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二、政府性基金预算拨款收入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三、国有资本经营预算拨款收入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四、财政专户管理资金收入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六、事业单位经营收入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七、上级补助收入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八、附属单位上缴收入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十、上年结转结余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二十六、债务发行费用支出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1,132.11</w:t>
            </w:r>
          </w:p>
        </w:tc>
      </w:tr>
    </w:tbl>
    <w:p>
      <w:pPr>
        <w:rPr>
          <w:rFonts w:hint="eastAsia" w:ascii="黑体" w:hAnsi="黑体" w:eastAsia="黑体"/>
          <w:sz w:val="32"/>
          <w:szCs w:val="32"/>
        </w:rPr>
        <w:sectPr>
          <w:pgSz w:w="11906" w:h="16838"/>
          <w:pgMar w:top="1440" w:right="1800" w:bottom="1440" w:left="1800" w:header="851" w:footer="992" w:gutter="0"/>
          <w:cols w:space="425" w:num="1"/>
          <w:docGrid w:type="lines" w:linePitch="312" w:charSpace="0"/>
        </w:sectPr>
      </w:pPr>
    </w:p>
    <w:p>
      <w:pPr>
        <w:pStyle w:val="2"/>
        <w:rPr>
          <w:rFonts w:hint="eastAsia"/>
        </w:rPr>
      </w:pPr>
    </w:p>
    <w:p>
      <w:pPr>
        <w:tabs>
          <w:tab w:val="left" w:pos="7513"/>
        </w:tabs>
        <w:adjustRightInd w:val="0"/>
        <w:snapToGrid w:val="0"/>
        <w:spacing w:line="600" w:lineRule="exact"/>
        <w:outlineLvl w:val="1"/>
        <w:rPr>
          <w:rFonts w:ascii="黑体" w:hAnsi="黑体" w:eastAsia="黑体"/>
          <w:sz w:val="32"/>
          <w:szCs w:val="32"/>
        </w:rPr>
      </w:pPr>
      <w:bookmarkStart w:id="6" w:name="_Toc9094"/>
      <w:r>
        <w:rPr>
          <w:rFonts w:hint="eastAsia" w:ascii="黑体" w:hAnsi="黑体" w:eastAsia="黑体"/>
          <w:sz w:val="32"/>
          <w:szCs w:val="32"/>
        </w:rPr>
        <w:t>二、收入预算总表</w:t>
      </w:r>
      <w:bookmarkEnd w:id="6"/>
    </w:p>
    <w:p>
      <w:pPr>
        <w:tabs>
          <w:tab w:val="left" w:pos="7513"/>
        </w:tabs>
        <w:adjustRightInd w:val="0"/>
        <w:snapToGrid w:val="0"/>
        <w:spacing w:line="600" w:lineRule="exact"/>
        <w:rPr>
          <w:rFonts w:cs="Times New Roman" w:asciiTheme="majorEastAsia" w:hAnsiTheme="majorEastAsia" w:eastAsiaTheme="majorEastAsia"/>
          <w:kern w:val="0"/>
          <w:sz w:val="36"/>
          <w:szCs w:val="20"/>
        </w:rPr>
      </w:pPr>
    </w:p>
    <w:tbl>
      <w:tblPr>
        <w:tblStyle w:val="1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26"/>
        <w:gridCol w:w="2342"/>
        <w:gridCol w:w="936"/>
        <w:gridCol w:w="936"/>
        <w:gridCol w:w="880"/>
        <w:gridCol w:w="881"/>
        <w:gridCol w:w="881"/>
        <w:gridCol w:w="881"/>
        <w:gridCol w:w="881"/>
        <w:gridCol w:w="881"/>
        <w:gridCol w:w="882"/>
        <w:gridCol w:w="882"/>
        <w:gridCol w:w="1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4081"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30"/>
                <w:szCs w:val="30"/>
                <w:u w:val="none"/>
              </w:rPr>
            </w:pPr>
            <w:r>
              <w:rPr>
                <w:rFonts w:ascii="宋体" w:hAnsi="宋体" w:eastAsia="宋体" w:cs="宋体"/>
                <w:i w:val="0"/>
                <w:iCs w:val="0"/>
                <w:color w:val="000000"/>
                <w:kern w:val="0"/>
                <w:sz w:val="30"/>
                <w:szCs w:val="30"/>
                <w:u w:val="none"/>
                <w:lang w:val="en-US" w:eastAsia="zh-CN" w:bidi="ar"/>
              </w:rPr>
              <w:t>2024年度收入预算总表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73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3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88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88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88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88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888" w:type="dxa"/>
            <w:tcBorders>
              <w:top w:val="nil"/>
              <w:left w:val="nil"/>
              <w:bottom w:val="nil"/>
              <w:right w:val="nil"/>
            </w:tcBorders>
            <w:shd w:val="clear" w:color="auto" w:fill="auto"/>
            <w:vAlign w:val="center"/>
          </w:tcPr>
          <w:p/>
        </w:tc>
        <w:tc>
          <w:tcPr>
            <w:tcW w:w="888" w:type="dxa"/>
            <w:tcBorders>
              <w:top w:val="nil"/>
              <w:left w:val="nil"/>
              <w:bottom w:val="nil"/>
              <w:right w:val="nil"/>
            </w:tcBorders>
            <w:shd w:val="clear" w:color="auto" w:fill="auto"/>
            <w:vAlign w:val="center"/>
          </w:tcPr>
          <w:p>
            <w:pPr>
              <w:rPr>
                <w:rFonts w:ascii="宋体" w:hAnsi="宋体" w:eastAsia="宋体" w:cs="宋体"/>
                <w:i w:val="0"/>
                <w:iCs w:val="0"/>
                <w:color w:val="000000"/>
                <w:sz w:val="18"/>
                <w:szCs w:val="18"/>
                <w:u w:val="none"/>
              </w:rPr>
            </w:pPr>
          </w:p>
        </w:tc>
        <w:tc>
          <w:tcPr>
            <w:tcW w:w="888" w:type="dxa"/>
            <w:tcBorders>
              <w:top w:val="nil"/>
              <w:left w:val="nil"/>
              <w:bottom w:val="nil"/>
              <w:right w:val="nil"/>
            </w:tcBorders>
            <w:shd w:val="clear" w:color="auto" w:fill="auto"/>
            <w:vAlign w:val="center"/>
          </w:tcPr>
          <w:p/>
        </w:tc>
        <w:tc>
          <w:tcPr>
            <w:tcW w:w="888" w:type="dxa"/>
            <w:tcBorders>
              <w:top w:val="nil"/>
              <w:left w:val="nil"/>
              <w:bottom w:val="nil"/>
              <w:right w:val="nil"/>
            </w:tcBorders>
            <w:shd w:val="clear" w:color="auto" w:fill="auto"/>
            <w:vAlign w:val="center"/>
          </w:tcPr>
          <w:p/>
        </w:tc>
        <w:tc>
          <w:tcPr>
            <w:tcW w:w="888" w:type="dxa"/>
            <w:tcBorders>
              <w:top w:val="nil"/>
              <w:left w:val="nil"/>
              <w:bottom w:val="nil"/>
              <w:right w:val="nil"/>
            </w:tcBorders>
            <w:shd w:val="clear" w:color="auto" w:fill="auto"/>
            <w:vAlign w:val="center"/>
          </w:tcPr>
          <w:p/>
        </w:tc>
        <w:tc>
          <w:tcPr>
            <w:tcW w:w="888" w:type="dxa"/>
            <w:tcBorders>
              <w:top w:val="nil"/>
              <w:left w:val="nil"/>
              <w:bottom w:val="nil"/>
              <w:right w:val="nil"/>
            </w:tcBorders>
            <w:shd w:val="clear" w:color="auto" w:fill="auto"/>
            <w:vAlign w:val="center"/>
          </w:tcPr>
          <w:p/>
        </w:tc>
        <w:tc>
          <w:tcPr>
            <w:tcW w:w="1098" w:type="dxa"/>
            <w:tcBorders>
              <w:top w:val="nil"/>
              <w:left w:val="nil"/>
              <w:bottom w:val="nil"/>
              <w:right w:val="nil"/>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科目名称</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总计</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一般公共预算拨款收入</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政府性基金预算拨款收入</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国有资本经营预算拨款收入</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财政专户管理资金收入</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事业收入</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事业单位经营收入</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上级补助收入</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附属单位上缴收入</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其他收入</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7</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1,132.11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1,132.11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w:t>
            </w: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一般公共服务支出</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1,132.11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1,132.11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20113</w:t>
            </w: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商贸事务</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1,132.11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1,132.11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2011301</w:t>
            </w: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行政运行</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1,132.11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1,132.11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bl>
    <w:p>
      <w:pPr>
        <w:tabs>
          <w:tab w:val="left" w:pos="7513"/>
        </w:tabs>
        <w:adjustRightInd/>
        <w:snapToGrid/>
        <w:spacing w:line="276" w:lineRule="auto"/>
        <w:rPr>
          <w:rFonts w:cs="Times New Roman" w:asciiTheme="majorEastAsia" w:hAnsiTheme="majorEastAsia" w:eastAsiaTheme="majorEastAsia"/>
          <w:kern w:val="2"/>
          <w:sz w:val="36"/>
          <w:szCs w:val="20"/>
        </w:rPr>
      </w:pPr>
    </w:p>
    <w:p>
      <w:pPr>
        <w:adjustRightInd/>
        <w:snapToGrid/>
        <w:spacing w:line="276" w:lineRule="auto"/>
        <w:rPr>
          <w:rFonts w:cs="Times New Roman" w:asciiTheme="majorEastAsia" w:hAnsiTheme="majorEastAsia" w:eastAsiaTheme="majorEastAsia"/>
          <w:kern w:val="2"/>
          <w:sz w:val="36"/>
          <w:szCs w:val="20"/>
        </w:rPr>
      </w:pPr>
    </w:p>
    <w:p>
      <w:pPr>
        <w:tabs>
          <w:tab w:val="left" w:pos="7513"/>
        </w:tabs>
        <w:adjustRightInd w:val="0"/>
        <w:snapToGrid w:val="0"/>
        <w:spacing w:line="600" w:lineRule="exact"/>
        <w:rPr>
          <w:rFonts w:cs="Times New Roman" w:asciiTheme="majorEastAsia" w:hAnsiTheme="majorEastAsia" w:eastAsiaTheme="majorEastAsia"/>
          <w:kern w:val="0"/>
          <w:sz w:val="36"/>
          <w:szCs w:val="20"/>
        </w:rPr>
        <w:sectPr>
          <w:pgSz w:w="16838" w:h="11906" w:orient="landscape"/>
          <w:pgMar w:top="1800" w:right="1440" w:bottom="1800" w:left="1440" w:header="851" w:footer="992" w:gutter="0"/>
          <w:cols w:space="425" w:num="1"/>
          <w:docGrid w:type="lines" w:linePitch="312" w:charSpace="0"/>
        </w:sectPr>
      </w:pPr>
    </w:p>
    <w:p>
      <w:pPr>
        <w:tabs>
          <w:tab w:val="left" w:pos="7513"/>
        </w:tabs>
        <w:adjustRightInd w:val="0"/>
        <w:snapToGrid w:val="0"/>
        <w:spacing w:line="600" w:lineRule="exact"/>
        <w:outlineLvl w:val="1"/>
        <w:rPr>
          <w:rFonts w:ascii="黑体" w:hAnsi="黑体" w:eastAsia="黑体"/>
          <w:sz w:val="32"/>
          <w:szCs w:val="32"/>
        </w:rPr>
      </w:pPr>
      <w:bookmarkStart w:id="7" w:name="_Toc2201"/>
      <w:r>
        <w:rPr>
          <w:rFonts w:hint="eastAsia" w:ascii="黑体" w:hAnsi="黑体" w:eastAsia="黑体"/>
          <w:sz w:val="32"/>
          <w:szCs w:val="32"/>
        </w:rPr>
        <w:t>三、支出预算总表</w:t>
      </w:r>
      <w:bookmarkEnd w:id="7"/>
    </w:p>
    <w:p>
      <w:pPr>
        <w:pStyle w:val="2"/>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30"/>
        <w:gridCol w:w="3212"/>
        <w:gridCol w:w="1210"/>
        <w:gridCol w:w="1210"/>
        <w:gridCol w:w="1210"/>
        <w:gridCol w:w="1347"/>
        <w:gridCol w:w="1395"/>
        <w:gridCol w:w="1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30"/>
                <w:szCs w:val="30"/>
                <w:u w:val="none"/>
              </w:rPr>
            </w:pPr>
            <w:r>
              <w:rPr>
                <w:rFonts w:ascii="宋体" w:hAnsi="宋体" w:eastAsia="宋体" w:cs="宋体"/>
                <w:i w:val="0"/>
                <w:iCs w:val="0"/>
                <w:color w:val="000000"/>
                <w:kern w:val="0"/>
                <w:sz w:val="30"/>
                <w:szCs w:val="30"/>
                <w:u w:val="none"/>
                <w:lang w:val="en-US" w:eastAsia="zh-CN" w:bidi="ar"/>
              </w:rPr>
              <w:t>2024年度支出预算总表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1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7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9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2"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科目名称</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项目支出</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事业单位经营支出</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上缴上级支出</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1,132.11</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419.11</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713.00</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一般公共服务支出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1,132.11</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419.11</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713.00</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20113</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商贸事务</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1,132.11</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419.11</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713.00</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2011301</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行政运行</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1,132.11</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419.11</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713.00</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bl>
    <w:p>
      <w:pPr>
        <w:pStyle w:val="2"/>
        <w:sectPr>
          <w:pgSz w:w="16838" w:h="11906" w:orient="landscape"/>
          <w:pgMar w:top="1800" w:right="1440" w:bottom="1800" w:left="1440" w:header="851" w:footer="992" w:gutter="0"/>
          <w:cols w:space="425" w:num="1"/>
          <w:docGrid w:type="lines" w:linePitch="312" w:charSpace="0"/>
        </w:sectPr>
      </w:pPr>
    </w:p>
    <w:p>
      <w:pPr>
        <w:tabs>
          <w:tab w:val="left" w:pos="7513"/>
        </w:tabs>
        <w:adjustRightInd w:val="0"/>
        <w:snapToGrid w:val="0"/>
        <w:spacing w:line="600" w:lineRule="exact"/>
        <w:outlineLvl w:val="1"/>
        <w:rPr>
          <w:rFonts w:ascii="黑体" w:hAnsi="黑体" w:eastAsia="黑体"/>
          <w:sz w:val="32"/>
          <w:szCs w:val="32"/>
        </w:rPr>
      </w:pPr>
      <w:bookmarkStart w:id="8" w:name="_Toc5994"/>
      <w:r>
        <w:rPr>
          <w:rFonts w:hint="eastAsia" w:ascii="黑体" w:hAnsi="黑体" w:eastAsia="黑体"/>
          <w:sz w:val="32"/>
          <w:szCs w:val="32"/>
        </w:rPr>
        <w:t>四、财政拨款收支预算总表</w:t>
      </w:r>
      <w:bookmarkEnd w:id="8"/>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25"/>
        <w:gridCol w:w="1035"/>
        <w:gridCol w:w="3225"/>
        <w:gridCol w:w="1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5000" w:type="pct"/>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8"/>
                <w:szCs w:val="28"/>
                <w:u w:val="none"/>
              </w:rPr>
            </w:pPr>
            <w:bookmarkStart w:id="9" w:name="_Toc11342"/>
            <w:r>
              <w:rPr>
                <w:rFonts w:ascii="宋体" w:hAnsi="宋体" w:eastAsia="宋体" w:cs="宋体"/>
                <w:i w:val="0"/>
                <w:iCs w:val="0"/>
                <w:color w:val="000000"/>
                <w:kern w:val="0"/>
                <w:sz w:val="28"/>
                <w:szCs w:val="28"/>
                <w:u w:val="none"/>
                <w:lang w:val="en-US" w:eastAsia="zh-CN" w:bidi="ar"/>
              </w:rPr>
              <w:t>2024年度财政拨款收支预算总表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77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89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725"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2382"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收  入</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项目</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预算数</w:t>
            </w:r>
          </w:p>
        </w:tc>
        <w:tc>
          <w:tcPr>
            <w:tcW w:w="18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项目</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一、一般公共预算拨款收入</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1,132.11</w:t>
            </w:r>
          </w:p>
        </w:tc>
        <w:tc>
          <w:tcPr>
            <w:tcW w:w="18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一、一般公共服务支出</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二、政府性基金预算拨款收入</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8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二、外交支出</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三、国有资本经营预算拨款收入</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8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三、国防支出</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四、公共安全支出</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五、教育支出</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7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六、科学技术支出</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7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七、文化旅游体育与传媒支出</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7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八、社会保障和就业支出</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7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九、卫生健康支出</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7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十、节能环保支出</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7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十一、城乡社区支出</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7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十二、农林水支出</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7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十三、交通运输支出</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7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十四、资源勘探工业信息等支出</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7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十五、商业服务业等支出</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7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十六、金融支出</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7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十七、援助其他地区支出</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7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十八、自然资源海洋气象等支出</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7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十九、住房保障支出</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7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二十、粮油物资储备支出</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7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二十一、国有资本经营预算支出</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7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二十二、灾害防治及应急管理支出</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7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二十三、其他支出</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7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二十四、债务还本支出</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7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二十五、债务付息支出</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7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二十六、债务发行费用支出</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收入合计</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1,132.11</w:t>
            </w:r>
          </w:p>
        </w:tc>
        <w:tc>
          <w:tcPr>
            <w:tcW w:w="18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支出合计</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1,132.11</w:t>
            </w:r>
          </w:p>
        </w:tc>
      </w:tr>
    </w:tbl>
    <w:p>
      <w:pPr>
        <w:tabs>
          <w:tab w:val="left" w:pos="7513"/>
        </w:tabs>
        <w:adjustRightInd w:val="0"/>
        <w:snapToGrid w:val="0"/>
        <w:spacing w:line="600" w:lineRule="exact"/>
        <w:outlineLvl w:val="1"/>
        <w:rPr>
          <w:rFonts w:hint="eastAsia" w:ascii="黑体" w:hAnsi="黑体" w:eastAsia="黑体"/>
          <w:sz w:val="32"/>
          <w:szCs w:val="32"/>
        </w:rPr>
      </w:pPr>
    </w:p>
    <w:p>
      <w:pPr>
        <w:pStyle w:val="2"/>
        <w:rPr>
          <w:rFonts w:hint="eastAsia"/>
        </w:rPr>
      </w:pPr>
    </w:p>
    <w:p>
      <w:pPr>
        <w:numPr>
          <w:ilvl w:val="0"/>
          <w:numId w:val="1"/>
        </w:numPr>
        <w:tabs>
          <w:tab w:val="left" w:pos="7513"/>
        </w:tabs>
        <w:adjustRightInd w:val="0"/>
        <w:snapToGrid w:val="0"/>
        <w:spacing w:line="600" w:lineRule="exact"/>
        <w:outlineLvl w:val="1"/>
        <w:rPr>
          <w:rFonts w:hint="eastAsia" w:ascii="黑体" w:hAnsi="黑体" w:eastAsia="黑体"/>
          <w:sz w:val="32"/>
          <w:szCs w:val="32"/>
        </w:rPr>
      </w:pPr>
      <w:r>
        <w:rPr>
          <w:rFonts w:hint="eastAsia" w:ascii="黑体" w:hAnsi="黑体" w:eastAsia="黑体"/>
          <w:sz w:val="32"/>
          <w:szCs w:val="32"/>
        </w:rPr>
        <w:t>一般公共预算拨款支出预算表</w:t>
      </w:r>
      <w:bookmarkEnd w:id="9"/>
    </w:p>
    <w:tbl>
      <w:tblPr>
        <w:tblStyle w:val="13"/>
        <w:tblpPr w:leftFromText="180" w:rightFromText="180" w:vertAnchor="text" w:horzAnchor="page" w:tblpX="1975" w:tblpY="569"/>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78"/>
        <w:gridCol w:w="3663"/>
        <w:gridCol w:w="1142"/>
        <w:gridCol w:w="1040"/>
        <w:gridCol w:w="1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30"/>
                <w:szCs w:val="30"/>
                <w:u w:val="none"/>
              </w:rPr>
            </w:pPr>
            <w:r>
              <w:rPr>
                <w:rFonts w:ascii="宋体" w:hAnsi="宋体" w:eastAsia="宋体" w:cs="宋体"/>
                <w:i w:val="0"/>
                <w:iCs w:val="0"/>
                <w:color w:val="000000"/>
                <w:kern w:val="0"/>
                <w:sz w:val="30"/>
                <w:szCs w:val="30"/>
                <w:u w:val="none"/>
                <w:lang w:val="en-US" w:eastAsia="zh-CN" w:bidi="ar"/>
              </w:rPr>
              <w:t>2024年度一般公共预算拨款支出预算表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2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14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7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44"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21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科目名称</w:t>
            </w:r>
          </w:p>
        </w:tc>
        <w:tc>
          <w:tcPr>
            <w:tcW w:w="6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2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9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基本支出</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1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1,132.11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419.11</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w:t>
            </w:r>
          </w:p>
        </w:tc>
        <w:tc>
          <w:tcPr>
            <w:tcW w:w="2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一般公共服务支出</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1,132.11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419.11</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20113</w:t>
            </w:r>
          </w:p>
        </w:tc>
        <w:tc>
          <w:tcPr>
            <w:tcW w:w="2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商贸事务</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1,132.11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419.11</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2011301</w:t>
            </w:r>
          </w:p>
        </w:tc>
        <w:tc>
          <w:tcPr>
            <w:tcW w:w="2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行政运行</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1,132.11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419.11</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713.00</w:t>
            </w:r>
          </w:p>
        </w:tc>
      </w:tr>
    </w:tbl>
    <w:p>
      <w:pPr>
        <w:pStyle w:val="2"/>
        <w:numPr>
          <w:ilvl w:val="0"/>
          <w:numId w:val="0"/>
        </w:numPr>
      </w:pPr>
    </w:p>
    <w:p>
      <w:pPr>
        <w:tabs>
          <w:tab w:val="left" w:pos="7513"/>
        </w:tabs>
        <w:adjustRightInd/>
        <w:snapToGrid/>
        <w:spacing w:line="300" w:lineRule="auto"/>
        <w:ind w:firstLine="420" w:firstLineChars="200"/>
        <w:rPr>
          <w:rFonts w:ascii="楷体" w:hAnsi="楷体" w:eastAsia="楷体" w:cs="Times New Roman"/>
          <w:kern w:val="0"/>
          <w:szCs w:val="21"/>
        </w:rPr>
      </w:pPr>
    </w:p>
    <w:p>
      <w:pPr>
        <w:tabs>
          <w:tab w:val="left" w:pos="7513"/>
        </w:tabs>
        <w:adjustRightInd w:val="0"/>
        <w:snapToGrid w:val="0"/>
        <w:spacing w:line="600" w:lineRule="exact"/>
        <w:outlineLvl w:val="1"/>
        <w:rPr>
          <w:rFonts w:ascii="黑体" w:hAnsi="黑体" w:eastAsia="黑体"/>
          <w:sz w:val="32"/>
          <w:szCs w:val="32"/>
        </w:rPr>
      </w:pPr>
      <w:bookmarkStart w:id="10" w:name="_Toc30539"/>
      <w:r>
        <w:rPr>
          <w:rFonts w:hint="eastAsia" w:ascii="黑体" w:hAnsi="黑体" w:eastAsia="黑体"/>
          <w:sz w:val="32"/>
          <w:szCs w:val="32"/>
        </w:rPr>
        <w:t>六、政府性基金预算拨款支出预算表</w:t>
      </w:r>
      <w:bookmarkEnd w:id="10"/>
    </w:p>
    <w:tbl>
      <w:tblPr>
        <w:tblStyle w:val="13"/>
        <w:tblW w:w="8237" w:type="dxa"/>
        <w:tblInd w:w="93" w:type="dxa"/>
        <w:tblLayout w:type="autofit"/>
        <w:tblCellMar>
          <w:top w:w="0" w:type="dxa"/>
          <w:left w:w="108" w:type="dxa"/>
          <w:bottom w:w="0" w:type="dxa"/>
          <w:right w:w="108" w:type="dxa"/>
        </w:tblCellMar>
      </w:tblPr>
      <w:tblGrid>
        <w:gridCol w:w="1149"/>
        <w:gridCol w:w="2552"/>
        <w:gridCol w:w="1559"/>
        <w:gridCol w:w="1559"/>
        <w:gridCol w:w="1418"/>
      </w:tblGrid>
      <w:tr>
        <w:tblPrEx>
          <w:tblCellMar>
            <w:top w:w="0" w:type="dxa"/>
            <w:left w:w="108" w:type="dxa"/>
            <w:bottom w:w="0" w:type="dxa"/>
            <w:right w:w="108" w:type="dxa"/>
          </w:tblCellMar>
        </w:tblPrEx>
        <w:trPr>
          <w:trHeight w:val="529" w:hRule="atLeast"/>
        </w:trPr>
        <w:tc>
          <w:tcPr>
            <w:tcW w:w="8237" w:type="dxa"/>
            <w:gridSpan w:val="5"/>
            <w:tcBorders>
              <w:top w:val="nil"/>
              <w:left w:val="nil"/>
              <w:bottom w:val="nil"/>
              <w:right w:val="nil"/>
            </w:tcBorders>
            <w:shd w:val="clear" w:color="auto" w:fill="auto"/>
            <w:noWrap/>
            <w:vAlign w:val="center"/>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年度政府性基金预算拨款支出预算表</w:t>
            </w:r>
          </w:p>
        </w:tc>
      </w:tr>
      <w:tr>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其中：</w:t>
            </w:r>
          </w:p>
        </w:tc>
      </w:tr>
      <w:tr>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r>
      <w:tr>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bl>
    <w:p>
      <w:pPr>
        <w:tabs>
          <w:tab w:val="left" w:pos="7513"/>
        </w:tabs>
        <w:adjustRightInd w:val="0"/>
        <w:snapToGrid w:val="0"/>
        <w:spacing w:line="300" w:lineRule="auto"/>
        <w:ind w:firstLine="264" w:firstLineChars="126"/>
        <w:rPr>
          <w:rFonts w:hint="eastAsia" w:ascii="楷体" w:hAnsi="楷体" w:eastAsia="楷体" w:cs="Times New Roman"/>
          <w:kern w:val="0"/>
          <w:szCs w:val="21"/>
        </w:rPr>
      </w:pPr>
      <w:r>
        <w:rPr>
          <w:rFonts w:hint="eastAsia" w:ascii="楷体" w:hAnsi="楷体" w:eastAsia="楷体" w:cs="Times New Roman"/>
          <w:kern w:val="0"/>
          <w:szCs w:val="21"/>
        </w:rPr>
        <w:t>备注：本部门202</w:t>
      </w:r>
      <w:r>
        <w:rPr>
          <w:rFonts w:hint="eastAsia" w:ascii="楷体" w:hAnsi="楷体" w:eastAsia="楷体" w:cs="Times New Roman"/>
          <w:kern w:val="0"/>
          <w:szCs w:val="21"/>
          <w:lang w:val="en-US" w:eastAsia="zh-CN"/>
        </w:rPr>
        <w:t>4</w:t>
      </w:r>
      <w:r>
        <w:rPr>
          <w:rFonts w:hint="eastAsia" w:ascii="楷体" w:hAnsi="楷体" w:eastAsia="楷体" w:cs="Times New Roman"/>
          <w:kern w:val="0"/>
          <w:szCs w:val="21"/>
        </w:rPr>
        <w:t>年没有使用政府性基金预算拨款安排的支出。</w:t>
      </w:r>
    </w:p>
    <w:p>
      <w:pPr>
        <w:tabs>
          <w:tab w:val="left" w:pos="7513"/>
        </w:tabs>
        <w:adjustRightInd w:val="0"/>
        <w:snapToGrid w:val="0"/>
        <w:spacing w:line="300" w:lineRule="auto"/>
        <w:ind w:firstLine="403" w:firstLineChars="126"/>
        <w:outlineLvl w:val="1"/>
        <w:rPr>
          <w:rFonts w:hint="eastAsia" w:ascii="黑体" w:hAnsi="黑体" w:eastAsia="黑体"/>
          <w:sz w:val="32"/>
          <w:szCs w:val="32"/>
        </w:rPr>
      </w:pPr>
      <w:bookmarkStart w:id="11" w:name="_Toc20553"/>
    </w:p>
    <w:p>
      <w:pPr>
        <w:tabs>
          <w:tab w:val="left" w:pos="7513"/>
        </w:tabs>
        <w:adjustRightInd w:val="0"/>
        <w:snapToGrid w:val="0"/>
        <w:spacing w:line="300" w:lineRule="auto"/>
        <w:outlineLvl w:val="1"/>
        <w:rPr>
          <w:rFonts w:hint="eastAsia" w:ascii="黑体" w:hAnsi="黑体" w:eastAsia="黑体"/>
          <w:sz w:val="32"/>
          <w:szCs w:val="32"/>
        </w:rPr>
      </w:pPr>
    </w:p>
    <w:p>
      <w:pPr>
        <w:tabs>
          <w:tab w:val="left" w:pos="7513"/>
        </w:tabs>
        <w:adjustRightInd w:val="0"/>
        <w:snapToGrid w:val="0"/>
        <w:spacing w:line="300" w:lineRule="auto"/>
        <w:outlineLvl w:val="1"/>
        <w:rPr>
          <w:rFonts w:ascii="黑体" w:hAnsi="黑体" w:eastAsia="黑体"/>
          <w:sz w:val="32"/>
          <w:szCs w:val="32"/>
        </w:rPr>
      </w:pPr>
      <w:r>
        <w:rPr>
          <w:rFonts w:hint="eastAsia" w:ascii="黑体" w:hAnsi="黑体" w:eastAsia="黑体"/>
          <w:sz w:val="32"/>
          <w:szCs w:val="32"/>
        </w:rPr>
        <w:t>七、国有资本经营预算拨款支出预算表</w:t>
      </w:r>
      <w:bookmarkEnd w:id="11"/>
    </w:p>
    <w:tbl>
      <w:tblPr>
        <w:tblStyle w:val="13"/>
        <w:tblW w:w="8237" w:type="dxa"/>
        <w:tblInd w:w="93" w:type="dxa"/>
        <w:tblLayout w:type="autofit"/>
        <w:tblCellMar>
          <w:top w:w="0" w:type="dxa"/>
          <w:left w:w="108" w:type="dxa"/>
          <w:bottom w:w="0" w:type="dxa"/>
          <w:right w:w="108" w:type="dxa"/>
        </w:tblCellMar>
      </w:tblPr>
      <w:tblGrid>
        <w:gridCol w:w="1149"/>
        <w:gridCol w:w="2552"/>
        <w:gridCol w:w="1559"/>
        <w:gridCol w:w="1559"/>
        <w:gridCol w:w="1418"/>
      </w:tblGrid>
      <w:tr>
        <w:tblPrEx>
          <w:tblCellMar>
            <w:top w:w="0" w:type="dxa"/>
            <w:left w:w="108" w:type="dxa"/>
            <w:bottom w:w="0" w:type="dxa"/>
            <w:right w:w="108" w:type="dxa"/>
          </w:tblCellMar>
        </w:tblPrEx>
        <w:trPr>
          <w:trHeight w:val="529" w:hRule="atLeast"/>
        </w:trPr>
        <w:tc>
          <w:tcPr>
            <w:tcW w:w="8237" w:type="dxa"/>
            <w:gridSpan w:val="5"/>
            <w:tcBorders>
              <w:top w:val="nil"/>
              <w:left w:val="nil"/>
              <w:bottom w:val="nil"/>
              <w:right w:val="nil"/>
            </w:tcBorders>
            <w:shd w:val="clear" w:color="auto" w:fill="auto"/>
            <w:noWrap/>
            <w:vAlign w:val="center"/>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年度国有资本经营预算拨款支出预算表</w:t>
            </w:r>
          </w:p>
        </w:tc>
      </w:tr>
      <w:tr>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其中：</w:t>
            </w:r>
          </w:p>
        </w:tc>
      </w:tr>
      <w:tr>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r>
      <w:tr>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bl>
    <w:p>
      <w:pPr>
        <w:tabs>
          <w:tab w:val="left" w:pos="7513"/>
        </w:tabs>
        <w:adjustRightInd w:val="0"/>
        <w:snapToGrid w:val="0"/>
        <w:spacing w:line="300" w:lineRule="auto"/>
        <w:ind w:firstLine="264" w:firstLineChars="126"/>
        <w:rPr>
          <w:rFonts w:ascii="黑体" w:hAnsi="黑体" w:eastAsia="黑体"/>
          <w:sz w:val="32"/>
          <w:szCs w:val="32"/>
        </w:rPr>
        <w:sectPr>
          <w:pgSz w:w="11906" w:h="16838"/>
          <w:pgMar w:top="1440" w:right="1800" w:bottom="1440" w:left="1800" w:header="851" w:footer="992" w:gutter="0"/>
          <w:cols w:space="425" w:num="1"/>
          <w:docGrid w:type="lines" w:linePitch="312" w:charSpace="0"/>
        </w:sectPr>
      </w:pPr>
      <w:r>
        <w:rPr>
          <w:rFonts w:hint="eastAsia" w:ascii="楷体" w:hAnsi="楷体" w:eastAsia="楷体" w:cs="Times New Roman"/>
          <w:kern w:val="0"/>
          <w:szCs w:val="21"/>
        </w:rPr>
        <w:t>备注：本部门202</w:t>
      </w:r>
      <w:r>
        <w:rPr>
          <w:rFonts w:hint="eastAsia" w:ascii="楷体" w:hAnsi="楷体" w:eastAsia="楷体" w:cs="Times New Roman"/>
          <w:kern w:val="0"/>
          <w:szCs w:val="21"/>
          <w:lang w:val="en-US" w:eastAsia="zh-CN"/>
        </w:rPr>
        <w:t>4</w:t>
      </w:r>
      <w:r>
        <w:rPr>
          <w:rFonts w:hint="eastAsia" w:ascii="楷体" w:hAnsi="楷体" w:eastAsia="楷体" w:cs="Times New Roman"/>
          <w:kern w:val="0"/>
          <w:szCs w:val="21"/>
        </w:rPr>
        <w:t>年没有使用政府性基金预算拨款安排的支出。</w:t>
      </w:r>
    </w:p>
    <w:p>
      <w:pPr>
        <w:tabs>
          <w:tab w:val="left" w:pos="7513"/>
        </w:tabs>
        <w:adjustRightInd w:val="0"/>
        <w:snapToGrid w:val="0"/>
        <w:spacing w:line="600" w:lineRule="exact"/>
        <w:outlineLvl w:val="1"/>
        <w:rPr>
          <w:rFonts w:ascii="黑体" w:hAnsi="黑体" w:eastAsia="黑体"/>
          <w:sz w:val="32"/>
          <w:szCs w:val="32"/>
        </w:rPr>
      </w:pPr>
      <w:bookmarkStart w:id="12" w:name="_Toc21152"/>
      <w:r>
        <w:rPr>
          <w:rFonts w:hint="eastAsia" w:ascii="黑体" w:hAnsi="黑体" w:eastAsia="黑体"/>
          <w:sz w:val="32"/>
          <w:szCs w:val="32"/>
        </w:rPr>
        <w:t>八、一般公共预算支出经济分类情况表</w:t>
      </w:r>
      <w:bookmarkEnd w:id="12"/>
    </w:p>
    <w:p>
      <w:pPr>
        <w:tabs>
          <w:tab w:val="left" w:pos="7513"/>
        </w:tabs>
        <w:adjustRightInd w:val="0"/>
        <w:snapToGrid w:val="0"/>
        <w:spacing w:line="600" w:lineRule="exact"/>
        <w:rPr>
          <w:rFonts w:ascii="黑体" w:hAnsi="黑体" w:eastAsia="黑体"/>
          <w:sz w:val="32"/>
          <w:szCs w:val="32"/>
        </w:rPr>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01"/>
        <w:gridCol w:w="4379"/>
        <w:gridCol w:w="26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000" w:type="pct"/>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30"/>
                <w:szCs w:val="30"/>
                <w:u w:val="none"/>
              </w:rPr>
            </w:pPr>
            <w:r>
              <w:rPr>
                <w:rFonts w:ascii="宋体" w:hAnsi="宋体" w:eastAsia="宋体" w:cs="宋体"/>
                <w:i w:val="0"/>
                <w:iCs w:val="0"/>
                <w:color w:val="000000"/>
                <w:kern w:val="0"/>
                <w:sz w:val="30"/>
                <w:szCs w:val="30"/>
                <w:u w:val="none"/>
                <w:lang w:val="en-US" w:eastAsia="zh-CN" w:bidi="ar"/>
              </w:rPr>
              <w:t>2024年度一般公共预算支出经济分类情况表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8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549"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2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科目名称</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56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w:t>
            </w:r>
          </w:p>
        </w:tc>
        <w:tc>
          <w:tcPr>
            <w:tcW w:w="2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工资福利支出</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2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商品和服务支出</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w:t>
            </w:r>
          </w:p>
        </w:tc>
        <w:tc>
          <w:tcPr>
            <w:tcW w:w="2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对个人和家庭的补助</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307</w:t>
            </w:r>
          </w:p>
        </w:tc>
        <w:tc>
          <w:tcPr>
            <w:tcW w:w="2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债务利息及费用支出</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w:t>
            </w:r>
          </w:p>
        </w:tc>
        <w:tc>
          <w:tcPr>
            <w:tcW w:w="2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资本性支出（基本建设）</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w:t>
            </w:r>
          </w:p>
        </w:tc>
        <w:tc>
          <w:tcPr>
            <w:tcW w:w="2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资本性支出</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311</w:t>
            </w:r>
          </w:p>
        </w:tc>
        <w:tc>
          <w:tcPr>
            <w:tcW w:w="2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对企业补助（基本建设）</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w:t>
            </w:r>
          </w:p>
        </w:tc>
        <w:tc>
          <w:tcPr>
            <w:tcW w:w="2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对企业补助</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313</w:t>
            </w:r>
          </w:p>
        </w:tc>
        <w:tc>
          <w:tcPr>
            <w:tcW w:w="2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对社会保障基金补助</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399</w:t>
            </w:r>
          </w:p>
        </w:tc>
        <w:tc>
          <w:tcPr>
            <w:tcW w:w="2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其他支出</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bl>
    <w:p>
      <w:pPr>
        <w:tabs>
          <w:tab w:val="left" w:pos="7513"/>
        </w:tabs>
        <w:adjustRightInd w:val="0"/>
        <w:snapToGrid w:val="0"/>
        <w:spacing w:line="600" w:lineRule="exact"/>
        <w:outlineLvl w:val="1"/>
        <w:rPr>
          <w:rFonts w:hint="eastAsia" w:ascii="黑体" w:hAnsi="黑体" w:eastAsia="黑体"/>
          <w:sz w:val="32"/>
          <w:szCs w:val="32"/>
        </w:rPr>
      </w:pPr>
      <w:bookmarkStart w:id="13" w:name="_Toc12825"/>
    </w:p>
    <w:p>
      <w:pPr>
        <w:tabs>
          <w:tab w:val="left" w:pos="7513"/>
        </w:tabs>
        <w:adjustRightInd w:val="0"/>
        <w:snapToGrid w:val="0"/>
        <w:spacing w:line="600" w:lineRule="exact"/>
        <w:outlineLvl w:val="1"/>
        <w:rPr>
          <w:rFonts w:ascii="黑体" w:hAnsi="黑体" w:eastAsia="黑体"/>
          <w:sz w:val="32"/>
          <w:szCs w:val="32"/>
        </w:rPr>
      </w:pPr>
      <w:r>
        <w:rPr>
          <w:rFonts w:hint="eastAsia" w:ascii="黑体" w:hAnsi="黑体" w:eastAsia="黑体"/>
          <w:sz w:val="32"/>
          <w:szCs w:val="32"/>
        </w:rPr>
        <w:t>九、一般公共预算基本支出经济分类情况表</w:t>
      </w:r>
      <w:bookmarkEnd w:id="13"/>
    </w:p>
    <w:p>
      <w:pPr>
        <w:tabs>
          <w:tab w:val="left" w:pos="7513"/>
        </w:tabs>
        <w:adjustRightInd w:val="0"/>
        <w:snapToGrid w:val="0"/>
        <w:spacing w:line="300" w:lineRule="auto"/>
        <w:ind w:firstLine="403" w:firstLineChars="126"/>
        <w:rPr>
          <w:rFonts w:ascii="黑体" w:hAnsi="黑体" w:eastAsia="黑体"/>
          <w:sz w:val="32"/>
          <w:szCs w:val="32"/>
        </w:rPr>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96"/>
        <w:gridCol w:w="4428"/>
        <w:gridCol w:w="19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000" w:type="pct"/>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30"/>
                <w:szCs w:val="30"/>
                <w:u w:val="none"/>
              </w:rPr>
            </w:pPr>
            <w:r>
              <w:rPr>
                <w:rFonts w:ascii="宋体" w:hAnsi="宋体" w:eastAsia="宋体" w:cs="宋体"/>
                <w:i w:val="0"/>
                <w:iCs w:val="0"/>
                <w:color w:val="000000"/>
                <w:kern w:val="0"/>
                <w:sz w:val="30"/>
                <w:szCs w:val="30"/>
                <w:u w:val="none"/>
                <w:lang w:val="en-US" w:eastAsia="zh-CN" w:bidi="ar"/>
              </w:rPr>
              <w:t>2024年度一般公共预算基本支出经济分类情况表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171"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科目名称</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工资福利支出</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30101</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基本工资</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30102</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津贴补贴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30103</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奖金</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30106</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伙食补助费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30107</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绩效工资</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30108</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机关事业单位基本养老保险缴费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30109</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职业年金缴费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30110</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职工基本医疗保险缴费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30111</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公务员医疗补助缴费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30112</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其他社会保障缴费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30113</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住房公积金</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30114</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医疗费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30199</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其他工资福利支出</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商品和服务支出</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30201</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30202</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印刷费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30203</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咨询费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30204</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手续费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30205</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30206</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电费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30207</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邮电费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30208</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取暖费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30209</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物业管理费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30211</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差旅费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30212</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因公出国（境）费用</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30213</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维修(护)费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30214</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租赁费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30215</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会议费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30216</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培训费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30217</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公务接待费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30218</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专用材料费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30224</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被装购置费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30225</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专用燃料费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30226</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劳务费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30227</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委托业务费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30228</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工会经费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30229</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福利费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30231</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公务用车运行维护费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30239</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其他交通费用</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30240</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税金及附加费用</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30299</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其他商品和服务支出</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对个人和家庭的补助</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30301</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离休费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30302</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退休费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30303</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退职（役）费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30304</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抚恤金</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30305</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生活补助</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30306</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救济费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30307</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医疗费补助</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30308</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助学金</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30309</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奖励金</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30310</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个人农业生产补贴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30311</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代缴社会保险费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30399</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其他对个人和家庭的补助</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307</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债务利息及费用支出</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30701</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国内债务付息</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30702</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国外债务付息</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30703</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国内债务发行费用</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30704</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国外债务发行费用</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资本性支出（基本建设）</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30901</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房屋建筑物购建</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30902</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办公设备购置</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30903</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专用设备购置</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30905</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基础设施建设</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30906</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大型修缮</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30907</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信息网络及软件购置更新</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30908</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物资储备</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30913</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公务用车购置</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30919</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其他交通工具购置</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30921</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文物和陈列品购置</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30922</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无形资产购置</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30999</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其他基本建设支出</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资本性支出</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31001</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房屋建筑物购建</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31002</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办公设备购置</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31003</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专用设备购置</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31005</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基础设施建设</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31006</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大型修缮</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31007</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信息网络及软件购置更新</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31008</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物资储备</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31009</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土地补偿</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31010</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安置补助</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31011</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地上附着物和青苗补偿</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31012</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拆迁补偿</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31013</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公务用车购置</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31019</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其他交通工具购置</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31021</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文物和陈列品购置</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31022</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无形资产购置</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31099</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其他资本性支出</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311</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对企业补助（基本建设）</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31101</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资本金注入（基本建设）</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31199</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其他对企业补助</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对企业补助</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31201</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资本金注入</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31203</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政府投资基金股权投资</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31204</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费用补贴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31205</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利息补贴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31206</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其他资本性补助</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31299</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其他对企业补助</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313</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对社会保障基金补助</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31302</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对社会保险基金补助</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31303</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补充全国社会保障基金</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31304</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对机关事业单位职业年金的补助</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399</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其他支出</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39907</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国家赔偿费用支出</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39908</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对民间非营利组织和群众性自治组织补贴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39909</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经常性赠与</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39910</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资本性赠与</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39999</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其他支出</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bl>
    <w:p>
      <w:pPr>
        <w:tabs>
          <w:tab w:val="left" w:pos="7513"/>
        </w:tabs>
        <w:adjustRightInd w:val="0"/>
        <w:snapToGrid w:val="0"/>
        <w:spacing w:line="600" w:lineRule="exact"/>
        <w:outlineLvl w:val="1"/>
        <w:rPr>
          <w:rFonts w:hint="eastAsia" w:ascii="黑体" w:hAnsi="黑体" w:eastAsia="黑体"/>
          <w:sz w:val="32"/>
          <w:szCs w:val="32"/>
        </w:rPr>
      </w:pPr>
      <w:bookmarkStart w:id="14" w:name="_Toc29925"/>
    </w:p>
    <w:p>
      <w:pPr>
        <w:tabs>
          <w:tab w:val="left" w:pos="7513"/>
        </w:tabs>
        <w:adjustRightInd w:val="0"/>
        <w:snapToGrid w:val="0"/>
        <w:spacing w:line="600" w:lineRule="exact"/>
        <w:outlineLvl w:val="1"/>
        <w:rPr>
          <w:rFonts w:hint="eastAsia" w:ascii="黑体" w:hAnsi="黑体" w:eastAsia="黑体"/>
          <w:sz w:val="32"/>
          <w:szCs w:val="32"/>
        </w:rPr>
      </w:pPr>
    </w:p>
    <w:p>
      <w:pPr>
        <w:tabs>
          <w:tab w:val="left" w:pos="7513"/>
        </w:tabs>
        <w:adjustRightInd w:val="0"/>
        <w:snapToGrid w:val="0"/>
        <w:spacing w:line="600" w:lineRule="exact"/>
        <w:outlineLvl w:val="1"/>
        <w:rPr>
          <w:rFonts w:hint="eastAsia" w:ascii="黑体" w:hAnsi="黑体" w:eastAsia="黑体"/>
          <w:sz w:val="32"/>
          <w:szCs w:val="32"/>
        </w:rPr>
      </w:pPr>
    </w:p>
    <w:p>
      <w:pPr>
        <w:tabs>
          <w:tab w:val="left" w:pos="7513"/>
        </w:tabs>
        <w:adjustRightInd w:val="0"/>
        <w:snapToGrid w:val="0"/>
        <w:spacing w:line="600" w:lineRule="exact"/>
        <w:outlineLvl w:val="1"/>
        <w:rPr>
          <w:rFonts w:hint="eastAsia" w:ascii="黑体" w:hAnsi="黑体" w:eastAsia="黑体"/>
          <w:sz w:val="32"/>
          <w:szCs w:val="32"/>
        </w:rPr>
      </w:pPr>
    </w:p>
    <w:p>
      <w:pPr>
        <w:tabs>
          <w:tab w:val="left" w:pos="7513"/>
        </w:tabs>
        <w:adjustRightInd w:val="0"/>
        <w:snapToGrid w:val="0"/>
        <w:spacing w:line="600" w:lineRule="exact"/>
        <w:outlineLvl w:val="1"/>
        <w:rPr>
          <w:rFonts w:hint="eastAsia" w:ascii="黑体" w:hAnsi="黑体" w:eastAsia="黑体"/>
          <w:sz w:val="32"/>
          <w:szCs w:val="32"/>
        </w:rPr>
      </w:pPr>
    </w:p>
    <w:p>
      <w:pPr>
        <w:tabs>
          <w:tab w:val="left" w:pos="7513"/>
        </w:tabs>
        <w:adjustRightInd w:val="0"/>
        <w:snapToGrid w:val="0"/>
        <w:spacing w:line="600" w:lineRule="exact"/>
        <w:outlineLvl w:val="1"/>
        <w:rPr>
          <w:rFonts w:ascii="黑体" w:hAnsi="黑体" w:eastAsia="黑体"/>
          <w:sz w:val="32"/>
          <w:szCs w:val="32"/>
        </w:rPr>
      </w:pPr>
      <w:r>
        <w:rPr>
          <w:rFonts w:hint="eastAsia" w:ascii="黑体" w:hAnsi="黑体" w:eastAsia="黑体"/>
          <w:sz w:val="32"/>
          <w:szCs w:val="32"/>
        </w:rPr>
        <w:t>十、一般公共预算“三公”经费支出预算表</w:t>
      </w:r>
      <w:bookmarkEnd w:id="14"/>
    </w:p>
    <w:p>
      <w:pPr>
        <w:tabs>
          <w:tab w:val="left" w:pos="7513"/>
        </w:tabs>
        <w:adjustRightInd w:val="0"/>
        <w:snapToGrid w:val="0"/>
        <w:spacing w:line="300" w:lineRule="auto"/>
        <w:ind w:firstLine="640" w:firstLineChars="200"/>
        <w:jc w:val="left"/>
        <w:rPr>
          <w:rFonts w:ascii="楷体" w:hAnsi="楷体" w:eastAsia="楷体" w:cs="Times New Roman"/>
          <w:kern w:val="0"/>
          <w:sz w:val="32"/>
          <w:szCs w:val="21"/>
        </w:rPr>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05"/>
        <w:gridCol w:w="30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2024年度一般公共预算“三公”经费支出预算表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69"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1、因公出国（境）费用</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2、公务接待费</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3、公务用车购置及运行费</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其中：（1）公务用车购置费</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（2）公务用车运行费</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r>
    </w:tbl>
    <w:p>
      <w:pPr>
        <w:pStyle w:val="2"/>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outlineLvl w:val="1"/>
        <w:rPr>
          <w:rFonts w:ascii="黑体" w:hAnsi="黑体" w:eastAsia="黑体"/>
          <w:sz w:val="32"/>
          <w:szCs w:val="32"/>
        </w:rPr>
      </w:pPr>
      <w:bookmarkStart w:id="15" w:name="_Toc2761"/>
      <w:r>
        <w:rPr>
          <w:rFonts w:hint="eastAsia" w:ascii="黑体" w:hAnsi="黑体" w:eastAsia="黑体"/>
          <w:sz w:val="32"/>
          <w:szCs w:val="32"/>
        </w:rPr>
        <w:t>十一、部门专项资金管理清单目录</w:t>
      </w:r>
      <w:bookmarkEnd w:id="15"/>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4"/>
        <w:gridCol w:w="1389"/>
        <w:gridCol w:w="1854"/>
        <w:gridCol w:w="505"/>
        <w:gridCol w:w="2602"/>
        <w:gridCol w:w="1587"/>
        <w:gridCol w:w="757"/>
        <w:gridCol w:w="933"/>
        <w:gridCol w:w="814"/>
        <w:gridCol w:w="862"/>
        <w:gridCol w:w="859"/>
        <w:gridCol w:w="9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5000" w:type="pct"/>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30"/>
                <w:szCs w:val="30"/>
                <w:u w:val="none"/>
              </w:rPr>
            </w:pPr>
            <w:r>
              <w:rPr>
                <w:rFonts w:ascii="宋体" w:hAnsi="宋体" w:eastAsia="宋体" w:cs="宋体"/>
                <w:i w:val="0"/>
                <w:iCs w:val="0"/>
                <w:color w:val="000000"/>
                <w:kern w:val="0"/>
                <w:sz w:val="30"/>
                <w:szCs w:val="30"/>
                <w:u w:val="none"/>
                <w:lang w:val="en-US" w:eastAsia="zh-CN" w:bidi="ar"/>
              </w:rPr>
              <w:t>2024年度部门专项资金管理清单目录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8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9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5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1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6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6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2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0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2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主管部门名称</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专项资金立项项目名称</w:t>
            </w:r>
          </w:p>
        </w:tc>
        <w:tc>
          <w:tcPr>
            <w:tcW w:w="6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1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执行年限</w:t>
            </w:r>
          </w:p>
        </w:tc>
        <w:tc>
          <w:tcPr>
            <w:tcW w:w="9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实施规划</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总体绩效目标</w:t>
            </w:r>
          </w:p>
        </w:tc>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支出级次</w:t>
            </w:r>
          </w:p>
        </w:tc>
        <w:tc>
          <w:tcPr>
            <w:tcW w:w="122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资金拼盘</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资金分配办法及支出标准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一般公共预算</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政府性基金预算</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国有资本经营预算</w:t>
            </w: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713.00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713.00</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福州市鼓楼区商务局</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兑现以前年度企业奖补区级配套经费</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省市下达资金文件及区级会议纪要</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兑现以前年度企业奖补区级配套经费</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兑现以前年度企业奖补区级配套资金更好完成上级下达任务</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700.00</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福州市鼓楼区商务局</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一般业务经费（工作经费）</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中包含：电商工作经费3万；12312、整规、食品安全工作经费等5万，其中:公务车运行维护费0.6万元;；招商经费（含投洽会）5万（其中接待费2.5万）；以上共计经费13万元</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13.00</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项目法</w:t>
            </w:r>
          </w:p>
        </w:tc>
      </w:tr>
    </w:tbl>
    <w:p>
      <w:pPr>
        <w:pStyle w:val="2"/>
        <w:rPr>
          <w:lang w:eastAsia="zh-CN"/>
        </w:rPr>
        <w:sectPr>
          <w:pgSz w:w="16838" w:h="11906" w:orient="landscape"/>
          <w:pgMar w:top="1800" w:right="1440" w:bottom="1800" w:left="1440" w:header="851" w:footer="992" w:gutter="0"/>
          <w:cols w:space="425" w:num="1"/>
          <w:docGrid w:type="lines" w:linePitch="312" w:charSpace="0"/>
        </w:sect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left"/>
        <w:outlineLvl w:val="0"/>
        <w:rPr>
          <w:rFonts w:ascii="黑体" w:hAnsi="黑体" w:eastAsia="黑体"/>
          <w:sz w:val="56"/>
          <w:szCs w:val="36"/>
          <w:lang w:eastAsia="zh-CN"/>
        </w:rPr>
      </w:pPr>
      <w:bookmarkStart w:id="16" w:name="_Toc26740"/>
      <w:r>
        <w:rPr>
          <w:rFonts w:hint="eastAsia" w:ascii="黑体" w:hAnsi="黑体" w:eastAsia="黑体"/>
          <w:sz w:val="56"/>
          <w:szCs w:val="36"/>
          <w:lang w:eastAsia="zh-CN"/>
        </w:rPr>
        <w:t>第三部分</w:t>
      </w:r>
      <w:r>
        <w:rPr>
          <w:rFonts w:ascii="黑体" w:hAnsi="黑体" w:eastAsia="黑体"/>
          <w:sz w:val="56"/>
          <w:szCs w:val="36"/>
          <w:lang w:eastAsia="zh-CN"/>
        </w:rPr>
        <w:t xml:space="preserve"> </w:t>
      </w:r>
      <w:r>
        <w:rPr>
          <w:rFonts w:hint="eastAsia" w:ascii="黑体" w:hAnsi="黑体" w:eastAsia="黑体"/>
          <w:sz w:val="56"/>
          <w:szCs w:val="36"/>
          <w:lang w:val="en-US" w:eastAsia="zh-CN"/>
        </w:rPr>
        <w:t xml:space="preserve"> 2024</w:t>
      </w:r>
      <w:r>
        <w:rPr>
          <w:rFonts w:hint="eastAsia" w:ascii="黑体" w:hAnsi="黑体" w:eastAsia="黑体"/>
          <w:sz w:val="56"/>
          <w:szCs w:val="36"/>
          <w:lang w:eastAsia="zh-CN"/>
        </w:rPr>
        <w:t>年度部门预算情况说明</w:t>
      </w:r>
      <w:bookmarkEnd w:id="16"/>
    </w:p>
    <w:p>
      <w:pPr>
        <w:ind w:firstLine="640" w:firstLineChars="200"/>
        <w:rPr>
          <w:rFonts w:ascii="仿宋" w:hAnsi="仿宋" w:eastAsia="仿宋" w:cs="仿宋_GB2312"/>
          <w:sz w:val="32"/>
          <w:szCs w:val="32"/>
        </w:rPr>
      </w:pPr>
    </w:p>
    <w:p>
      <w:pPr>
        <w:tabs>
          <w:tab w:val="left" w:pos="7513"/>
        </w:tabs>
        <w:adjustRightInd w:val="0"/>
        <w:snapToGrid w:val="0"/>
        <w:spacing w:line="600" w:lineRule="exact"/>
        <w:rPr>
          <w:rFonts w:ascii="仿宋" w:hAnsi="仿宋" w:eastAsia="仿宋"/>
          <w:b/>
          <w:sz w:val="32"/>
          <w:szCs w:val="32"/>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outlineLvl w:val="1"/>
        <w:rPr>
          <w:rFonts w:ascii="黑体" w:hAnsi="黑体" w:eastAsia="黑体"/>
          <w:b w:val="0"/>
          <w:sz w:val="32"/>
          <w:szCs w:val="32"/>
        </w:rPr>
      </w:pPr>
      <w:bookmarkStart w:id="17" w:name="_Toc736"/>
      <w:r>
        <w:rPr>
          <w:rFonts w:hint="eastAsia" w:ascii="黑体" w:hAnsi="黑体" w:eastAsia="黑体" w:cstheme="minorBidi"/>
          <w:b w:val="0"/>
          <w:kern w:val="2"/>
          <w:sz w:val="32"/>
          <w:szCs w:val="32"/>
          <w:lang w:eastAsia="zh-CN"/>
        </w:rPr>
        <w:t>一、预算收支总体情况</w:t>
      </w:r>
      <w:bookmarkEnd w:id="17"/>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按照综合预算的原则，部门所有收入和支出均纳入部门预算管理。</w:t>
      </w:r>
      <w:r>
        <w:rPr>
          <w:rFonts w:hint="eastAsia" w:ascii="仿宋" w:hAnsi="仿宋" w:eastAsia="仿宋"/>
          <w:sz w:val="32"/>
          <w:szCs w:val="32"/>
          <w:lang w:val="en-US" w:eastAsia="zh-CN"/>
        </w:rPr>
        <w:t>2024</w:t>
      </w:r>
      <w:r>
        <w:rPr>
          <w:rFonts w:hint="eastAsia" w:ascii="仿宋" w:hAnsi="仿宋" w:eastAsia="仿宋"/>
          <w:sz w:val="32"/>
          <w:szCs w:val="32"/>
        </w:rPr>
        <w:t>年，</w:t>
      </w:r>
      <w:r>
        <w:rPr>
          <w:rFonts w:hint="eastAsia" w:ascii="仿宋" w:hAnsi="仿宋" w:eastAsia="仿宋"/>
          <w:sz w:val="32"/>
          <w:szCs w:val="32"/>
          <w:lang w:eastAsia="zh-CN"/>
        </w:rPr>
        <w:t>福州市鼓楼区商务局本级</w:t>
      </w:r>
      <w:r>
        <w:rPr>
          <w:rFonts w:hint="eastAsia" w:ascii="仿宋" w:hAnsi="仿宋" w:eastAsia="仿宋"/>
          <w:sz w:val="32"/>
          <w:szCs w:val="32"/>
        </w:rPr>
        <w:t>部门收入预算为</w:t>
      </w:r>
      <w:r>
        <w:rPr>
          <w:rFonts w:hint="eastAsia" w:ascii="仿宋" w:hAnsi="仿宋" w:eastAsia="仿宋" w:cs="仿宋_GB2312"/>
          <w:sz w:val="32"/>
          <w:szCs w:val="32"/>
        </w:rPr>
        <w:t>1132.11</w:t>
      </w:r>
      <w:r>
        <w:rPr>
          <w:rFonts w:hint="eastAsia" w:ascii="仿宋" w:hAnsi="仿宋" w:eastAsia="仿宋"/>
          <w:sz w:val="32"/>
          <w:szCs w:val="32"/>
        </w:rPr>
        <w:t>万元，比上年</w:t>
      </w:r>
      <w:r>
        <w:rPr>
          <w:rFonts w:hint="eastAsia" w:ascii="仿宋" w:hAnsi="仿宋" w:eastAsia="仿宋"/>
          <w:sz w:val="32"/>
          <w:szCs w:val="32"/>
          <w:lang w:eastAsia="zh-CN"/>
        </w:rPr>
        <w:t>减少</w:t>
      </w:r>
      <w:r>
        <w:rPr>
          <w:rFonts w:hint="eastAsia" w:ascii="仿宋" w:hAnsi="仿宋" w:eastAsia="仿宋"/>
          <w:sz w:val="32"/>
          <w:szCs w:val="32"/>
          <w:lang w:val="en-US" w:eastAsia="zh-CN"/>
        </w:rPr>
        <w:t>15.86</w:t>
      </w:r>
      <w:r>
        <w:rPr>
          <w:rFonts w:hint="eastAsia" w:ascii="仿宋" w:hAnsi="仿宋" w:eastAsia="仿宋"/>
          <w:sz w:val="32"/>
          <w:szCs w:val="32"/>
        </w:rPr>
        <w:t>万元，主要原因是</w:t>
      </w:r>
      <w:r>
        <w:rPr>
          <w:rFonts w:hint="eastAsia" w:ascii="仿宋" w:hAnsi="仿宋" w:eastAsia="仿宋"/>
          <w:sz w:val="32"/>
          <w:szCs w:val="32"/>
          <w:lang w:eastAsia="zh-CN"/>
        </w:rPr>
        <w:t>本年度机构改革人员变动</w:t>
      </w:r>
      <w:r>
        <w:rPr>
          <w:rFonts w:hint="eastAsia" w:ascii="仿宋" w:hAnsi="仿宋" w:eastAsia="仿宋" w:cs="仿宋_GB2312"/>
          <w:sz w:val="32"/>
          <w:szCs w:val="32"/>
        </w:rPr>
        <w:t>。</w:t>
      </w:r>
      <w:r>
        <w:rPr>
          <w:rFonts w:hint="eastAsia" w:ascii="仿宋" w:hAnsi="仿宋" w:eastAsia="仿宋"/>
          <w:sz w:val="32"/>
          <w:szCs w:val="32"/>
        </w:rPr>
        <w:t>其中：一般公共预算拨款收入</w:t>
      </w:r>
      <w:r>
        <w:rPr>
          <w:rFonts w:hint="eastAsia" w:ascii="仿宋" w:hAnsi="仿宋" w:eastAsia="仿宋" w:cs="仿宋_GB2312"/>
          <w:sz w:val="32"/>
          <w:szCs w:val="32"/>
        </w:rPr>
        <w:t>1132.11</w:t>
      </w:r>
      <w:r>
        <w:rPr>
          <w:rFonts w:hint="eastAsia" w:ascii="仿宋" w:hAnsi="仿宋" w:eastAsia="仿宋"/>
          <w:sz w:val="32"/>
          <w:szCs w:val="32"/>
        </w:rPr>
        <w:t>万元、政府性基金预算拨款收入</w:t>
      </w:r>
      <w:r>
        <w:rPr>
          <w:rFonts w:hint="eastAsia" w:ascii="仿宋" w:hAnsi="仿宋" w:eastAsia="仿宋" w:cs="仿宋_GB2312"/>
          <w:sz w:val="32"/>
          <w:szCs w:val="32"/>
          <w:lang w:val="en-US" w:eastAsia="zh-CN"/>
        </w:rPr>
        <w:t>0.00</w:t>
      </w:r>
      <w:r>
        <w:rPr>
          <w:rFonts w:hint="eastAsia" w:ascii="仿宋" w:hAnsi="仿宋" w:eastAsia="仿宋"/>
          <w:sz w:val="32"/>
          <w:szCs w:val="32"/>
        </w:rPr>
        <w:t>万元、国有资本经营预算拨款收入</w:t>
      </w:r>
      <w:r>
        <w:rPr>
          <w:rFonts w:hint="eastAsia" w:ascii="仿宋" w:hAnsi="仿宋" w:eastAsia="仿宋" w:cs="仿宋_GB2312"/>
          <w:sz w:val="32"/>
          <w:szCs w:val="32"/>
        </w:rPr>
        <w:t>1132.11</w:t>
      </w:r>
      <w:r>
        <w:rPr>
          <w:rFonts w:hint="eastAsia" w:ascii="仿宋" w:hAnsi="仿宋" w:eastAsia="仿宋"/>
          <w:sz w:val="32"/>
          <w:szCs w:val="32"/>
        </w:rPr>
        <w:t>万元、财政专户管理资金收入</w:t>
      </w:r>
      <w:r>
        <w:rPr>
          <w:rFonts w:hint="eastAsia" w:ascii="仿宋" w:hAnsi="仿宋" w:eastAsia="仿宋" w:cs="仿宋_GB2312"/>
          <w:sz w:val="32"/>
          <w:szCs w:val="32"/>
          <w:lang w:val="en-US" w:eastAsia="zh-CN"/>
        </w:rPr>
        <w:t>0.00</w:t>
      </w:r>
      <w:r>
        <w:rPr>
          <w:rFonts w:hint="eastAsia" w:ascii="仿宋" w:hAnsi="仿宋" w:eastAsia="仿宋"/>
          <w:sz w:val="32"/>
          <w:szCs w:val="32"/>
        </w:rPr>
        <w:t>万元、事业收入</w:t>
      </w:r>
      <w:r>
        <w:rPr>
          <w:rFonts w:hint="eastAsia" w:ascii="仿宋" w:hAnsi="仿宋" w:eastAsia="仿宋" w:cs="仿宋_GB2312"/>
          <w:sz w:val="32"/>
          <w:szCs w:val="32"/>
          <w:lang w:val="en-US" w:eastAsia="zh-CN"/>
        </w:rPr>
        <w:t>0.00</w:t>
      </w:r>
      <w:r>
        <w:rPr>
          <w:rFonts w:hint="eastAsia" w:ascii="仿宋" w:hAnsi="仿宋" w:eastAsia="仿宋"/>
          <w:sz w:val="32"/>
          <w:szCs w:val="32"/>
        </w:rPr>
        <w:t>万元、事业单位经营收入</w:t>
      </w:r>
      <w:r>
        <w:rPr>
          <w:rFonts w:hint="eastAsia" w:ascii="仿宋" w:hAnsi="仿宋" w:eastAsia="仿宋" w:cs="仿宋_GB2312"/>
          <w:sz w:val="32"/>
          <w:szCs w:val="32"/>
          <w:lang w:val="en-US" w:eastAsia="zh-CN"/>
        </w:rPr>
        <w:t>0.00</w:t>
      </w:r>
      <w:r>
        <w:rPr>
          <w:rFonts w:hint="eastAsia" w:ascii="仿宋" w:hAnsi="仿宋" w:eastAsia="仿宋"/>
          <w:sz w:val="32"/>
          <w:szCs w:val="32"/>
        </w:rPr>
        <w:t>万元、上级补助收入</w:t>
      </w:r>
      <w:r>
        <w:rPr>
          <w:rFonts w:hint="eastAsia" w:ascii="仿宋" w:hAnsi="仿宋" w:eastAsia="仿宋" w:cs="仿宋_GB2312"/>
          <w:sz w:val="32"/>
          <w:szCs w:val="32"/>
          <w:lang w:val="en-US" w:eastAsia="zh-CN"/>
        </w:rPr>
        <w:t>0.00</w:t>
      </w:r>
      <w:r>
        <w:rPr>
          <w:rFonts w:hint="eastAsia" w:ascii="仿宋" w:hAnsi="仿宋" w:eastAsia="仿宋"/>
          <w:sz w:val="32"/>
          <w:szCs w:val="32"/>
        </w:rPr>
        <w:t>万元、附属单位上缴收入</w:t>
      </w:r>
      <w:r>
        <w:rPr>
          <w:rFonts w:hint="eastAsia" w:ascii="仿宋" w:hAnsi="仿宋" w:eastAsia="仿宋" w:cs="仿宋_GB2312"/>
          <w:sz w:val="32"/>
          <w:szCs w:val="32"/>
          <w:lang w:val="en-US" w:eastAsia="zh-CN"/>
        </w:rPr>
        <w:t>0.00</w:t>
      </w:r>
      <w:r>
        <w:rPr>
          <w:rFonts w:hint="eastAsia" w:ascii="仿宋" w:hAnsi="仿宋" w:eastAsia="仿宋"/>
          <w:sz w:val="32"/>
          <w:szCs w:val="32"/>
        </w:rPr>
        <w:t>万元、其他收入</w:t>
      </w:r>
      <w:r>
        <w:rPr>
          <w:rFonts w:hint="eastAsia" w:ascii="仿宋" w:hAnsi="仿宋" w:eastAsia="仿宋" w:cs="仿宋_GB2312"/>
          <w:sz w:val="32"/>
          <w:szCs w:val="32"/>
          <w:lang w:val="en-US" w:eastAsia="zh-CN"/>
        </w:rPr>
        <w:t>0.00</w:t>
      </w:r>
      <w:r>
        <w:rPr>
          <w:rFonts w:hint="eastAsia" w:ascii="仿宋" w:hAnsi="仿宋" w:eastAsia="仿宋"/>
          <w:sz w:val="32"/>
          <w:szCs w:val="32"/>
        </w:rPr>
        <w:t>万元、上年结转结余</w:t>
      </w:r>
      <w:r>
        <w:rPr>
          <w:rFonts w:hint="eastAsia" w:ascii="仿宋" w:hAnsi="仿宋" w:eastAsia="仿宋" w:cs="仿宋_GB2312"/>
          <w:sz w:val="32"/>
          <w:szCs w:val="32"/>
          <w:lang w:val="en-US" w:eastAsia="zh-CN"/>
        </w:rPr>
        <w:t>0.00</w:t>
      </w:r>
      <w:r>
        <w:rPr>
          <w:rFonts w:hint="eastAsia" w:ascii="仿宋" w:hAnsi="仿宋" w:eastAsia="仿宋"/>
          <w:sz w:val="32"/>
          <w:szCs w:val="32"/>
        </w:rPr>
        <w:t>万元。</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相应安排支出预算</w:t>
      </w:r>
      <w:r>
        <w:rPr>
          <w:rFonts w:hint="eastAsia" w:ascii="仿宋" w:hAnsi="仿宋" w:eastAsia="仿宋" w:cs="仿宋_GB2312"/>
          <w:sz w:val="32"/>
          <w:szCs w:val="32"/>
        </w:rPr>
        <w:t>1132.11</w:t>
      </w:r>
      <w:r>
        <w:rPr>
          <w:rFonts w:hint="eastAsia" w:ascii="仿宋" w:hAnsi="仿宋" w:eastAsia="仿宋"/>
          <w:sz w:val="32"/>
          <w:szCs w:val="32"/>
        </w:rPr>
        <w:t>万元，比上年</w:t>
      </w:r>
      <w:r>
        <w:rPr>
          <w:rFonts w:hint="eastAsia" w:ascii="仿宋" w:hAnsi="仿宋" w:eastAsia="仿宋"/>
          <w:sz w:val="32"/>
          <w:szCs w:val="32"/>
          <w:lang w:eastAsia="zh-CN"/>
        </w:rPr>
        <w:t>减少</w:t>
      </w:r>
      <w:r>
        <w:rPr>
          <w:rFonts w:hint="eastAsia" w:ascii="仿宋" w:hAnsi="仿宋" w:eastAsia="仿宋"/>
          <w:sz w:val="32"/>
          <w:szCs w:val="32"/>
          <w:lang w:val="en-US" w:eastAsia="zh-CN"/>
        </w:rPr>
        <w:t>15.86</w:t>
      </w:r>
      <w:r>
        <w:rPr>
          <w:rFonts w:hint="eastAsia" w:ascii="仿宋" w:hAnsi="仿宋" w:eastAsia="仿宋"/>
          <w:sz w:val="32"/>
          <w:szCs w:val="32"/>
        </w:rPr>
        <w:t>万元，主要原因是</w:t>
      </w:r>
      <w:r>
        <w:rPr>
          <w:rFonts w:hint="eastAsia" w:ascii="仿宋" w:hAnsi="仿宋" w:eastAsia="仿宋"/>
          <w:sz w:val="32"/>
          <w:szCs w:val="32"/>
          <w:lang w:eastAsia="zh-CN"/>
        </w:rPr>
        <w:t>本年度机构改革人员变动</w:t>
      </w:r>
      <w:r>
        <w:rPr>
          <w:rFonts w:hint="eastAsia" w:ascii="仿宋" w:hAnsi="仿宋" w:eastAsia="仿宋" w:cs="仿宋_GB2312"/>
          <w:sz w:val="32"/>
          <w:szCs w:val="32"/>
        </w:rPr>
        <w:t>。</w:t>
      </w:r>
      <w:r>
        <w:rPr>
          <w:rFonts w:hint="eastAsia" w:ascii="仿宋" w:hAnsi="仿宋" w:eastAsia="仿宋"/>
          <w:sz w:val="32"/>
          <w:szCs w:val="32"/>
        </w:rPr>
        <w:t>其中：基本支出</w:t>
      </w:r>
      <w:r>
        <w:rPr>
          <w:rFonts w:hint="eastAsia" w:ascii="仿宋" w:hAnsi="仿宋" w:eastAsia="仿宋" w:cs="仿宋_GB2312"/>
          <w:sz w:val="32"/>
          <w:szCs w:val="32"/>
          <w:lang w:val="en-US" w:eastAsia="zh-CN"/>
        </w:rPr>
        <w:t>419.11</w:t>
      </w:r>
      <w:r>
        <w:rPr>
          <w:rFonts w:hint="eastAsia" w:ascii="仿宋" w:hAnsi="仿宋" w:eastAsia="仿宋"/>
          <w:sz w:val="32"/>
          <w:szCs w:val="32"/>
        </w:rPr>
        <w:t>万元、项目支出</w:t>
      </w:r>
      <w:r>
        <w:rPr>
          <w:rFonts w:hint="eastAsia" w:ascii="仿宋" w:hAnsi="仿宋" w:eastAsia="仿宋"/>
          <w:sz w:val="32"/>
          <w:szCs w:val="32"/>
          <w:lang w:val="en-US" w:eastAsia="zh-CN"/>
        </w:rPr>
        <w:t>713</w:t>
      </w:r>
      <w:r>
        <w:rPr>
          <w:rFonts w:hint="eastAsia" w:ascii="仿宋" w:hAnsi="仿宋" w:eastAsia="仿宋"/>
          <w:sz w:val="32"/>
          <w:szCs w:val="32"/>
        </w:rPr>
        <w:t>万元、事业单位经营支出</w:t>
      </w:r>
      <w:r>
        <w:rPr>
          <w:rFonts w:hint="eastAsia" w:ascii="仿宋" w:hAnsi="仿宋" w:eastAsia="仿宋" w:cs="仿宋_GB2312"/>
          <w:sz w:val="32"/>
          <w:szCs w:val="32"/>
          <w:lang w:val="en-US" w:eastAsia="zh-CN"/>
        </w:rPr>
        <w:t>0.00</w:t>
      </w:r>
      <w:r>
        <w:rPr>
          <w:rFonts w:hint="eastAsia" w:ascii="仿宋" w:hAnsi="仿宋" w:eastAsia="仿宋"/>
          <w:sz w:val="32"/>
          <w:szCs w:val="32"/>
        </w:rPr>
        <w:t>万元、上缴上级支出</w:t>
      </w:r>
      <w:r>
        <w:rPr>
          <w:rFonts w:hint="eastAsia" w:ascii="仿宋" w:hAnsi="仿宋" w:eastAsia="仿宋" w:cs="仿宋_GB2312"/>
          <w:sz w:val="32"/>
          <w:szCs w:val="32"/>
          <w:lang w:val="en-US" w:eastAsia="zh-CN"/>
        </w:rPr>
        <w:t>0.00</w:t>
      </w:r>
      <w:r>
        <w:rPr>
          <w:rFonts w:hint="eastAsia" w:ascii="仿宋" w:hAnsi="仿宋" w:eastAsia="仿宋"/>
          <w:sz w:val="32"/>
          <w:szCs w:val="32"/>
        </w:rPr>
        <w:t>万元、对附属单位补助支出</w:t>
      </w:r>
      <w:r>
        <w:rPr>
          <w:rFonts w:hint="eastAsia" w:ascii="仿宋" w:hAnsi="仿宋" w:eastAsia="仿宋" w:cs="仿宋_GB2312"/>
          <w:sz w:val="32"/>
          <w:szCs w:val="32"/>
          <w:lang w:val="en-US" w:eastAsia="zh-CN"/>
        </w:rPr>
        <w:t>0.00</w:t>
      </w:r>
      <w:r>
        <w:rPr>
          <w:rFonts w:hint="eastAsia" w:ascii="仿宋" w:hAnsi="仿宋" w:eastAsia="仿宋"/>
          <w:sz w:val="32"/>
          <w:szCs w:val="32"/>
        </w:rPr>
        <w:t>万元。</w:t>
      </w:r>
    </w:p>
    <w:p>
      <w:pPr>
        <w:tabs>
          <w:tab w:val="left" w:pos="7513"/>
        </w:tabs>
        <w:adjustRightInd w:val="0"/>
        <w:snapToGrid w:val="0"/>
        <w:spacing w:line="600" w:lineRule="exact"/>
        <w:outlineLvl w:val="1"/>
        <w:rPr>
          <w:rFonts w:ascii="黑体" w:hAnsi="黑体" w:eastAsia="黑体"/>
          <w:b w:val="0"/>
          <w:sz w:val="32"/>
          <w:szCs w:val="32"/>
        </w:rPr>
      </w:pPr>
      <w:bookmarkStart w:id="18" w:name="_Toc9472"/>
      <w:r>
        <w:rPr>
          <w:rFonts w:hint="eastAsia" w:ascii="黑体" w:hAnsi="黑体" w:eastAsia="黑体" w:cstheme="minorBidi"/>
          <w:b w:val="0"/>
          <w:kern w:val="2"/>
          <w:sz w:val="32"/>
          <w:szCs w:val="32"/>
          <w:lang w:eastAsia="zh-CN"/>
        </w:rPr>
        <w:t>二、一般公共预算拨款支出情况</w:t>
      </w:r>
      <w:bookmarkEnd w:id="18"/>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宋体"/>
          <w:bCs/>
          <w:sz w:val="32"/>
          <w:szCs w:val="32"/>
          <w:lang w:val="en-US" w:eastAsia="zh-CN"/>
        </w:rPr>
        <w:t>2024</w:t>
      </w:r>
      <w:r>
        <w:rPr>
          <w:rFonts w:hint="eastAsia" w:ascii="仿宋" w:hAnsi="仿宋" w:eastAsia="仿宋" w:cs="仿宋_GB2312"/>
          <w:sz w:val="32"/>
          <w:szCs w:val="32"/>
        </w:rPr>
        <w:t>年度一般公共预算拨款支出11132.11</w:t>
      </w:r>
      <w:r>
        <w:rPr>
          <w:rFonts w:hint="eastAsia" w:ascii="仿宋" w:hAnsi="仿宋" w:eastAsia="仿宋"/>
          <w:sz w:val="32"/>
          <w:szCs w:val="32"/>
        </w:rPr>
        <w:t>万元，比上年</w:t>
      </w:r>
      <w:r>
        <w:rPr>
          <w:rFonts w:hint="eastAsia" w:ascii="仿宋" w:hAnsi="仿宋" w:eastAsia="仿宋"/>
          <w:sz w:val="32"/>
          <w:szCs w:val="32"/>
          <w:lang w:eastAsia="zh-CN"/>
        </w:rPr>
        <w:t>减少</w:t>
      </w:r>
      <w:r>
        <w:rPr>
          <w:rFonts w:hint="eastAsia" w:ascii="仿宋" w:hAnsi="仿宋" w:eastAsia="仿宋"/>
          <w:sz w:val="32"/>
          <w:szCs w:val="32"/>
          <w:lang w:val="en-US" w:eastAsia="zh-CN"/>
        </w:rPr>
        <w:t>15.86</w:t>
      </w:r>
      <w:r>
        <w:rPr>
          <w:rFonts w:hint="eastAsia" w:ascii="仿宋" w:hAnsi="仿宋" w:eastAsia="仿宋"/>
          <w:sz w:val="32"/>
          <w:szCs w:val="32"/>
        </w:rPr>
        <w:t>万元，主要原因是</w:t>
      </w:r>
      <w:r>
        <w:rPr>
          <w:rFonts w:hint="eastAsia" w:ascii="仿宋" w:hAnsi="仿宋" w:eastAsia="仿宋"/>
          <w:sz w:val="32"/>
          <w:szCs w:val="32"/>
          <w:lang w:eastAsia="zh-CN"/>
        </w:rPr>
        <w:t>本年度机构改革人员变动</w:t>
      </w:r>
      <w:r>
        <w:rPr>
          <w:rFonts w:hint="eastAsia" w:ascii="仿宋" w:hAnsi="仿宋" w:eastAsia="仿宋" w:cs="仿宋_GB2312"/>
          <w:sz w:val="32"/>
          <w:szCs w:val="32"/>
        </w:rPr>
        <w:t>。按照党中央、国务院和省委、省政府关于过紧日子的有关要求，厉行节约办一切事业，大力压减一般性支出，重点压减了公用经费和培训等项目支出中涉及的非急需非刚性支出，同时合理保障了</w:t>
      </w:r>
      <w:r>
        <w:rPr>
          <w:rFonts w:hint="eastAsia" w:ascii="仿宋" w:hAnsi="仿宋" w:eastAsia="仿宋" w:cs="仿宋_GB2312"/>
          <w:sz w:val="32"/>
          <w:szCs w:val="32"/>
          <w:lang w:eastAsia="zh-CN"/>
        </w:rPr>
        <w:t>商贸、外资外贸、市场秩序、招商</w:t>
      </w:r>
      <w:r>
        <w:rPr>
          <w:rFonts w:hint="eastAsia" w:ascii="仿宋" w:hAnsi="仿宋" w:eastAsia="仿宋" w:cs="仿宋_GB2312"/>
          <w:sz w:val="32"/>
          <w:szCs w:val="32"/>
        </w:rPr>
        <w:t>等工作的支出需求，体现在有关支出科目中。</w:t>
      </w:r>
      <w:r>
        <w:rPr>
          <w:rFonts w:hint="eastAsia" w:ascii="仿宋" w:hAnsi="仿宋" w:eastAsia="仿宋" w:cs="宋体"/>
          <w:bCs/>
          <w:sz w:val="32"/>
          <w:szCs w:val="32"/>
        </w:rPr>
        <w:t>其中（按项级科目分类统计）</w:t>
      </w:r>
      <w:r>
        <w:rPr>
          <w:rFonts w:hint="eastAsia" w:ascii="仿宋" w:hAnsi="仿宋" w:eastAsia="仿宋" w:cs="仿宋_GB2312"/>
          <w:sz w:val="32"/>
          <w:szCs w:val="32"/>
        </w:rPr>
        <w:t>：</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（一）2011301-行政运行1132.11万元。主要用于</w:t>
      </w:r>
      <w:r>
        <w:rPr>
          <w:rFonts w:hint="eastAsia" w:ascii="仿宋" w:hAnsi="仿宋" w:eastAsia="仿宋" w:cs="仿宋_GB2312"/>
          <w:sz w:val="32"/>
          <w:szCs w:val="32"/>
          <w:lang w:eastAsia="zh-CN"/>
        </w:rPr>
        <w:t>本年度人员工资福利及日常工作事务</w:t>
      </w:r>
      <w:r>
        <w:rPr>
          <w:rFonts w:hint="eastAsia" w:ascii="仿宋" w:hAnsi="仿宋" w:eastAsia="仿宋" w:cs="仿宋_GB2312"/>
          <w:sz w:val="32"/>
          <w:szCs w:val="32"/>
        </w:rPr>
        <w:t>支出。</w:t>
      </w:r>
    </w:p>
    <w:p>
      <w:pPr>
        <w:tabs>
          <w:tab w:val="left" w:pos="7513"/>
        </w:tabs>
        <w:adjustRightInd w:val="0"/>
        <w:snapToGrid w:val="0"/>
        <w:spacing w:line="600" w:lineRule="exact"/>
        <w:outlineLvl w:val="1"/>
        <w:rPr>
          <w:rFonts w:ascii="黑体" w:hAnsi="黑体" w:eastAsia="黑体"/>
          <w:b w:val="0"/>
          <w:sz w:val="32"/>
          <w:szCs w:val="32"/>
        </w:rPr>
      </w:pPr>
      <w:bookmarkStart w:id="19" w:name="_Toc1897"/>
      <w:r>
        <w:rPr>
          <w:rFonts w:hint="eastAsia" w:ascii="黑体" w:hAnsi="黑体" w:eastAsia="黑体" w:cstheme="minorBidi"/>
          <w:b w:val="0"/>
          <w:kern w:val="2"/>
          <w:sz w:val="32"/>
          <w:szCs w:val="32"/>
          <w:lang w:eastAsia="zh-CN"/>
        </w:rPr>
        <w:t>三、政府性基金预算拨款支出情况</w:t>
      </w:r>
      <w:bookmarkEnd w:id="19"/>
    </w:p>
    <w:p>
      <w:pPr>
        <w:tabs>
          <w:tab w:val="left" w:pos="7513"/>
        </w:tabs>
        <w:adjustRightInd w:val="0"/>
        <w:snapToGrid w:val="0"/>
        <w:spacing w:line="600" w:lineRule="exact"/>
        <w:ind w:firstLine="704" w:firstLineChars="220"/>
        <w:rPr>
          <w:rFonts w:hint="eastAsia" w:ascii="仿宋" w:hAnsi="仿宋" w:eastAsia="仿宋" w:cs="仿宋_GB2312"/>
          <w:sz w:val="32"/>
          <w:szCs w:val="32"/>
        </w:rPr>
      </w:pPr>
      <w:r>
        <w:rPr>
          <w:rFonts w:hint="eastAsia" w:ascii="仿宋" w:hAnsi="仿宋" w:eastAsia="仿宋" w:cs="仿宋_GB2312"/>
          <w:sz w:val="32"/>
          <w:szCs w:val="32"/>
        </w:rPr>
        <w:t>本部门</w:t>
      </w: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lang w:eastAsia="zh-CN"/>
        </w:rPr>
        <w:t>年度</w:t>
      </w:r>
      <w:r>
        <w:rPr>
          <w:rFonts w:hint="eastAsia" w:ascii="仿宋" w:hAnsi="仿宋" w:eastAsia="仿宋" w:cs="仿宋_GB2312"/>
          <w:sz w:val="32"/>
          <w:szCs w:val="32"/>
        </w:rPr>
        <w:t>没有使用政府性基金预算拨款安排的支出。</w:t>
      </w:r>
    </w:p>
    <w:p>
      <w:pPr>
        <w:tabs>
          <w:tab w:val="left" w:pos="7513"/>
        </w:tabs>
        <w:adjustRightInd w:val="0"/>
        <w:snapToGrid w:val="0"/>
        <w:spacing w:line="600" w:lineRule="exact"/>
        <w:outlineLvl w:val="1"/>
        <w:rPr>
          <w:rFonts w:ascii="黑体" w:hAnsi="黑体" w:eastAsia="黑体" w:cs="仿宋_GB2312"/>
          <w:bCs/>
          <w:sz w:val="32"/>
          <w:szCs w:val="32"/>
        </w:rPr>
      </w:pPr>
      <w:bookmarkStart w:id="20" w:name="_Toc28419"/>
      <w:r>
        <w:rPr>
          <w:rFonts w:hint="eastAsia" w:ascii="黑体" w:hAnsi="黑体" w:eastAsia="黑体" w:cs="仿宋_GB2312"/>
          <w:bCs/>
          <w:sz w:val="32"/>
          <w:szCs w:val="32"/>
        </w:rPr>
        <w:t>四、国有资本经营预算拨款支出情况</w:t>
      </w:r>
      <w:bookmarkEnd w:id="20"/>
    </w:p>
    <w:p>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本部门</w:t>
      </w: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lang w:eastAsia="zh-CN"/>
        </w:rPr>
        <w:t>年度</w:t>
      </w:r>
      <w:r>
        <w:rPr>
          <w:rFonts w:hint="eastAsia" w:ascii="仿宋" w:hAnsi="仿宋" w:eastAsia="仿宋" w:cs="仿宋_GB2312"/>
          <w:sz w:val="32"/>
          <w:szCs w:val="32"/>
        </w:rPr>
        <w:t>没有使用国有资本经营预算拨款安排的支出。</w:t>
      </w:r>
    </w:p>
    <w:p>
      <w:pPr>
        <w:tabs>
          <w:tab w:val="left" w:pos="7513"/>
        </w:tabs>
        <w:adjustRightInd w:val="0"/>
        <w:snapToGrid w:val="0"/>
        <w:spacing w:line="600" w:lineRule="exact"/>
        <w:outlineLvl w:val="1"/>
        <w:rPr>
          <w:rFonts w:ascii="黑体" w:hAnsi="黑体" w:eastAsia="黑体"/>
          <w:b w:val="0"/>
          <w:sz w:val="32"/>
          <w:szCs w:val="32"/>
        </w:rPr>
      </w:pPr>
      <w:bookmarkStart w:id="21" w:name="_Toc4131"/>
      <w:r>
        <w:rPr>
          <w:rFonts w:hint="eastAsia" w:ascii="黑体" w:hAnsi="黑体" w:eastAsia="黑体" w:cstheme="minorBidi"/>
          <w:b w:val="0"/>
          <w:kern w:val="2"/>
          <w:sz w:val="32"/>
          <w:szCs w:val="32"/>
          <w:lang w:eastAsia="zh-CN"/>
        </w:rPr>
        <w:t>五、</w:t>
      </w:r>
      <w:r>
        <w:rPr>
          <w:rFonts w:hint="eastAsia" w:ascii="黑体" w:hAnsi="黑体" w:eastAsia="黑体"/>
          <w:sz w:val="32"/>
          <w:szCs w:val="32"/>
        </w:rPr>
        <w:t>一般公共预算拨款</w:t>
      </w:r>
      <w:r>
        <w:rPr>
          <w:rFonts w:hint="eastAsia" w:ascii="黑体" w:hAnsi="黑体" w:eastAsia="黑体" w:cstheme="minorBidi"/>
          <w:b w:val="0"/>
          <w:kern w:val="2"/>
          <w:sz w:val="32"/>
          <w:szCs w:val="32"/>
          <w:lang w:eastAsia="zh-CN"/>
        </w:rPr>
        <w:t>基本支出情况</w:t>
      </w:r>
      <w:bookmarkEnd w:id="21"/>
    </w:p>
    <w:p>
      <w:pPr>
        <w:tabs>
          <w:tab w:val="left" w:pos="7513"/>
        </w:tabs>
        <w:adjustRightInd w:val="0"/>
        <w:snapToGrid w:val="0"/>
        <w:spacing w:line="600" w:lineRule="exact"/>
        <w:ind w:firstLine="800" w:firstLineChars="250"/>
        <w:rPr>
          <w:rFonts w:ascii="仿宋" w:hAnsi="仿宋" w:eastAsia="仿宋" w:cs="仿宋_GB2312"/>
          <w:sz w:val="32"/>
          <w:szCs w:val="32"/>
        </w:rPr>
      </w:pPr>
      <w:r>
        <w:rPr>
          <w:rFonts w:hint="eastAsia" w:ascii="仿宋" w:hAnsi="仿宋" w:eastAsia="仿宋" w:cs="宋体"/>
          <w:bCs/>
          <w:sz w:val="32"/>
          <w:szCs w:val="32"/>
          <w:lang w:val="en-US" w:eastAsia="zh-CN"/>
        </w:rPr>
        <w:t>2024</w:t>
      </w:r>
      <w:r>
        <w:rPr>
          <w:rFonts w:hint="eastAsia" w:ascii="仿宋" w:hAnsi="仿宋" w:eastAsia="仿宋" w:cs="仿宋_GB2312"/>
          <w:sz w:val="32"/>
          <w:szCs w:val="32"/>
        </w:rPr>
        <w:t>年度一般公共预算拨款基本支出</w:t>
      </w:r>
      <w:r>
        <w:rPr>
          <w:rFonts w:hint="eastAsia" w:ascii="仿宋" w:hAnsi="仿宋" w:eastAsia="仿宋" w:cs="仿宋_GB2312"/>
          <w:sz w:val="32"/>
          <w:szCs w:val="32"/>
          <w:lang w:val="en-US" w:eastAsia="zh-CN"/>
        </w:rPr>
        <w:t>419.11</w:t>
      </w:r>
      <w:r>
        <w:rPr>
          <w:rFonts w:hint="eastAsia" w:ascii="仿宋" w:hAnsi="仿宋" w:eastAsia="仿宋" w:cs="仿宋_GB2312"/>
          <w:sz w:val="32"/>
          <w:szCs w:val="32"/>
        </w:rPr>
        <w:t>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r>
        <w:rPr>
          <w:rFonts w:hint="eastAsia" w:ascii="仿宋" w:hAnsi="仿宋" w:eastAsia="仿宋" w:cs="仿宋_GB2312"/>
          <w:sz w:val="32"/>
          <w:szCs w:val="32"/>
          <w:lang w:val="en-US" w:eastAsia="zh-CN"/>
        </w:rPr>
        <w:t>247.67</w:t>
      </w:r>
      <w:r>
        <w:rPr>
          <w:rFonts w:hint="eastAsia" w:ascii="仿宋" w:hAnsi="仿宋" w:eastAsia="仿宋" w:cs="仿宋_GB2312"/>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（二）公用经费</w:t>
      </w:r>
      <w:r>
        <w:rPr>
          <w:rFonts w:hint="eastAsia" w:ascii="仿宋" w:hAnsi="仿宋" w:eastAsia="仿宋" w:cs="仿宋_GB2312"/>
          <w:sz w:val="32"/>
          <w:szCs w:val="32"/>
          <w:lang w:val="en-US" w:eastAsia="zh-CN"/>
        </w:rPr>
        <w:t>171.44</w:t>
      </w:r>
      <w:r>
        <w:rPr>
          <w:rFonts w:hint="eastAsia" w:ascii="仿宋" w:hAnsi="仿宋" w:eastAsia="仿宋" w:cs="仿宋_GB2312"/>
          <w:sz w:val="32"/>
          <w:szCs w:val="32"/>
        </w:rPr>
        <w:t>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tabs>
          <w:tab w:val="left" w:pos="7513"/>
        </w:tabs>
        <w:adjustRightInd w:val="0"/>
        <w:snapToGrid w:val="0"/>
        <w:spacing w:line="600" w:lineRule="exact"/>
        <w:outlineLvl w:val="1"/>
        <w:rPr>
          <w:rFonts w:ascii="黑体" w:hAnsi="黑体" w:eastAsia="黑体"/>
          <w:b w:val="0"/>
          <w:sz w:val="32"/>
          <w:szCs w:val="32"/>
        </w:rPr>
      </w:pPr>
      <w:bookmarkStart w:id="22" w:name="_Toc22442"/>
      <w:r>
        <w:rPr>
          <w:rFonts w:hint="eastAsia" w:ascii="黑体" w:hAnsi="黑体" w:eastAsia="黑体" w:cstheme="minorBidi"/>
          <w:b w:val="0"/>
          <w:kern w:val="2"/>
          <w:sz w:val="32"/>
          <w:szCs w:val="32"/>
          <w:lang w:eastAsia="zh-CN"/>
        </w:rPr>
        <w:t>六、一般公共预算“三公”经费支出情况</w:t>
      </w:r>
      <w:bookmarkEnd w:id="22"/>
    </w:p>
    <w:p>
      <w:pPr>
        <w:widowControl/>
        <w:adjustRightInd w:val="0"/>
        <w:snapToGrid w:val="0"/>
        <w:spacing w:line="600" w:lineRule="exact"/>
        <w:ind w:firstLine="660"/>
        <w:outlineLvl w:val="2"/>
        <w:rPr>
          <w:rFonts w:hint="eastAsia" w:ascii="仿宋" w:hAnsi="仿宋" w:eastAsia="仿宋" w:cs="仿宋_GB2312"/>
          <w:sz w:val="32"/>
          <w:szCs w:val="32"/>
        </w:rPr>
      </w:pPr>
      <w:r>
        <w:rPr>
          <w:rFonts w:hint="eastAsia" w:ascii="仿宋" w:hAnsi="仿宋" w:eastAsia="仿宋" w:cs="仿宋_GB2312"/>
          <w:sz w:val="32"/>
          <w:szCs w:val="32"/>
        </w:rPr>
        <w:t>（一）因公出国（境）经费</w:t>
      </w:r>
    </w:p>
    <w:p>
      <w:pPr>
        <w:widowControl/>
        <w:adjustRightInd w:val="0"/>
        <w:snapToGrid w:val="0"/>
        <w:spacing w:line="600" w:lineRule="exact"/>
        <w:ind w:firstLine="660"/>
        <w:rPr>
          <w:rFonts w:hint="eastAsia" w:ascii="仿宋" w:hAnsi="仿宋" w:eastAsia="仿宋" w:cs="仿宋_GB2312"/>
          <w:sz w:val="32"/>
          <w:szCs w:val="32"/>
        </w:rPr>
      </w:pPr>
      <w:r>
        <w:rPr>
          <w:rFonts w:hint="eastAsia" w:ascii="仿宋" w:hAnsi="仿宋" w:eastAsia="仿宋" w:cs="仿宋_GB2312"/>
          <w:kern w:val="0"/>
          <w:sz w:val="32"/>
          <w:szCs w:val="32"/>
          <w:lang w:eastAsia="zh-CN"/>
        </w:rPr>
        <w:t>202</w:t>
      </w:r>
      <w:r>
        <w:rPr>
          <w:rFonts w:hint="eastAsia" w:ascii="仿宋" w:hAnsi="仿宋" w:eastAsia="仿宋" w:cs="仿宋_GB2312"/>
          <w:kern w:val="0"/>
          <w:sz w:val="32"/>
          <w:szCs w:val="32"/>
          <w:lang w:val="en-US" w:eastAsia="zh-CN"/>
        </w:rPr>
        <w:t>4</w:t>
      </w:r>
      <w:r>
        <w:rPr>
          <w:rFonts w:hint="eastAsia" w:ascii="仿宋" w:hAnsi="仿宋" w:eastAsia="仿宋" w:cs="仿宋_GB2312"/>
          <w:kern w:val="0"/>
          <w:sz w:val="32"/>
          <w:szCs w:val="32"/>
          <w:lang w:eastAsia="zh-CN"/>
        </w:rPr>
        <w:t>年</w:t>
      </w:r>
      <w:r>
        <w:rPr>
          <w:rFonts w:hint="eastAsia" w:ascii="仿宋" w:hAnsi="仿宋" w:eastAsia="仿宋" w:cs="宋体"/>
          <w:kern w:val="0"/>
          <w:sz w:val="32"/>
          <w:szCs w:val="32"/>
        </w:rPr>
        <w:t>预算安排</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w:t>
      </w:r>
      <w:r>
        <w:rPr>
          <w:rFonts w:hint="eastAsia" w:ascii="仿宋" w:hAnsi="仿宋" w:eastAsia="仿宋" w:cs="仿宋_GB2312"/>
          <w:sz w:val="32"/>
          <w:szCs w:val="32"/>
          <w:lang w:eastAsia="zh-CN"/>
        </w:rPr>
        <w:t>与上年持平。</w:t>
      </w:r>
      <w:r>
        <w:rPr>
          <w:rFonts w:hint="eastAsia" w:ascii="仿宋" w:hAnsi="仿宋" w:eastAsia="仿宋" w:cs="仿宋_GB2312"/>
          <w:sz w:val="32"/>
          <w:szCs w:val="32"/>
        </w:rPr>
        <w:t>主要原因是:</w:t>
      </w:r>
      <w:r>
        <w:rPr>
          <w:rFonts w:hint="eastAsia" w:ascii="仿宋" w:hAnsi="仿宋" w:eastAsia="仿宋" w:cs="仿宋_GB2312"/>
          <w:sz w:val="32"/>
          <w:szCs w:val="32"/>
          <w:lang w:eastAsia="zh-CN"/>
        </w:rPr>
        <w:t>本年度无因公出国（境）计划</w:t>
      </w:r>
      <w:r>
        <w:rPr>
          <w:rFonts w:hint="eastAsia" w:ascii="仿宋" w:hAnsi="仿宋" w:eastAsia="仿宋" w:cs="仿宋_GB2312"/>
          <w:sz w:val="32"/>
          <w:szCs w:val="32"/>
        </w:rPr>
        <w:t>。</w:t>
      </w:r>
    </w:p>
    <w:p>
      <w:pPr>
        <w:widowControl/>
        <w:adjustRightInd w:val="0"/>
        <w:snapToGrid w:val="0"/>
        <w:spacing w:line="600" w:lineRule="exact"/>
        <w:ind w:firstLine="660"/>
        <w:outlineLvl w:val="2"/>
        <w:rPr>
          <w:rFonts w:hint="eastAsia" w:ascii="仿宋" w:hAnsi="仿宋" w:eastAsia="仿宋" w:cs="仿宋_GB2312"/>
          <w:sz w:val="32"/>
          <w:szCs w:val="32"/>
        </w:rPr>
      </w:pPr>
      <w:r>
        <w:rPr>
          <w:rFonts w:hint="eastAsia" w:ascii="仿宋" w:hAnsi="仿宋" w:eastAsia="仿宋" w:cs="仿宋_GB2312"/>
          <w:sz w:val="32"/>
          <w:szCs w:val="32"/>
        </w:rPr>
        <w:t>（二）公务接待费</w:t>
      </w:r>
    </w:p>
    <w:p>
      <w:pPr>
        <w:widowControl/>
        <w:adjustRightInd w:val="0"/>
        <w:snapToGrid w:val="0"/>
        <w:spacing w:line="600" w:lineRule="exact"/>
        <w:ind w:firstLine="660"/>
        <w:rPr>
          <w:rFonts w:hint="eastAsia" w:ascii="仿宋" w:hAnsi="仿宋" w:eastAsia="仿宋" w:cs="仿宋_GB2312"/>
          <w:sz w:val="32"/>
          <w:szCs w:val="32"/>
        </w:rPr>
      </w:pPr>
      <w:r>
        <w:rPr>
          <w:rFonts w:hint="eastAsia" w:ascii="仿宋" w:hAnsi="仿宋" w:eastAsia="仿宋" w:cs="仿宋_GB2312"/>
          <w:kern w:val="0"/>
          <w:sz w:val="32"/>
          <w:szCs w:val="32"/>
          <w:lang w:val="en-US" w:eastAsia="zh-CN"/>
        </w:rPr>
        <w:t>2024</w:t>
      </w:r>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w:t>
      </w:r>
      <w:r>
        <w:rPr>
          <w:rFonts w:hint="eastAsia" w:ascii="仿宋" w:hAnsi="仿宋" w:eastAsia="仿宋" w:cs="仿宋_GB2312"/>
          <w:sz w:val="32"/>
          <w:szCs w:val="32"/>
        </w:rPr>
        <w:t>比上年增减</w:t>
      </w:r>
      <w:r>
        <w:rPr>
          <w:rFonts w:hint="eastAsia" w:ascii="仿宋" w:hAnsi="仿宋" w:eastAsia="仿宋" w:cs="仿宋_GB2312"/>
          <w:sz w:val="32"/>
          <w:szCs w:val="32"/>
          <w:lang w:val="en-US" w:eastAsia="zh-CN"/>
        </w:rPr>
        <w:t>0.00</w:t>
      </w:r>
      <w:r>
        <w:rPr>
          <w:rFonts w:hint="eastAsia" w:ascii="仿宋" w:hAnsi="仿宋" w:eastAsia="仿宋" w:cs="仿宋_GB2312"/>
          <w:kern w:val="0"/>
          <w:sz w:val="32"/>
          <w:szCs w:val="32"/>
        </w:rPr>
        <w:t>万元</w:t>
      </w:r>
      <w:r>
        <w:rPr>
          <w:rFonts w:hint="eastAsia" w:ascii="仿宋" w:hAnsi="仿宋" w:eastAsia="仿宋" w:cs="仿宋_GB2312"/>
          <w:sz w:val="32"/>
          <w:szCs w:val="32"/>
        </w:rPr>
        <w:t>，与上年持平。主要原因是:</w:t>
      </w:r>
      <w:r>
        <w:rPr>
          <w:rFonts w:hint="eastAsia" w:ascii="仿宋" w:hAnsi="仿宋" w:eastAsia="仿宋" w:cs="仿宋_GB2312"/>
          <w:kern w:val="0"/>
          <w:sz w:val="32"/>
          <w:szCs w:val="32"/>
        </w:rPr>
        <w:t>招商引资</w:t>
      </w:r>
      <w:r>
        <w:rPr>
          <w:rFonts w:hint="eastAsia" w:ascii="仿宋" w:hAnsi="仿宋" w:eastAsia="仿宋" w:cs="宋体"/>
          <w:kern w:val="0"/>
          <w:sz w:val="32"/>
          <w:szCs w:val="32"/>
        </w:rPr>
        <w:t>等方面的接待活动</w:t>
      </w:r>
      <w:r>
        <w:rPr>
          <w:rFonts w:hint="eastAsia" w:ascii="仿宋" w:hAnsi="仿宋" w:eastAsia="仿宋" w:cs="仿宋_GB2312"/>
          <w:sz w:val="32"/>
          <w:szCs w:val="32"/>
        </w:rPr>
        <w:t>。</w:t>
      </w:r>
    </w:p>
    <w:p>
      <w:pPr>
        <w:widowControl/>
        <w:adjustRightInd w:val="0"/>
        <w:snapToGrid w:val="0"/>
        <w:spacing w:line="600" w:lineRule="exact"/>
        <w:ind w:firstLine="660"/>
        <w:outlineLvl w:val="2"/>
        <w:rPr>
          <w:rFonts w:hint="eastAsia" w:ascii="仿宋" w:hAnsi="仿宋" w:eastAsia="仿宋" w:cs="仿宋_GB2312"/>
          <w:sz w:val="32"/>
          <w:szCs w:val="32"/>
        </w:rPr>
      </w:pPr>
      <w:r>
        <w:rPr>
          <w:rFonts w:hint="eastAsia" w:ascii="仿宋" w:hAnsi="仿宋" w:eastAsia="仿宋" w:cs="仿宋_GB2312"/>
          <w:sz w:val="32"/>
          <w:szCs w:val="32"/>
        </w:rPr>
        <w:t>（三）公务用车购置及运行费</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cs="宋体"/>
          <w:kern w:val="0"/>
          <w:sz w:val="32"/>
          <w:szCs w:val="32"/>
          <w:lang w:eastAsia="zh-CN"/>
        </w:rPr>
        <w:t>2024年</w:t>
      </w:r>
      <w:r>
        <w:rPr>
          <w:rFonts w:hint="eastAsia" w:ascii="仿宋" w:hAnsi="仿宋" w:eastAsia="仿宋" w:cs="宋体"/>
          <w:kern w:val="0"/>
          <w:sz w:val="32"/>
          <w:szCs w:val="32"/>
        </w:rPr>
        <w:t>预算安排</w:t>
      </w:r>
      <w:r>
        <w:rPr>
          <w:rFonts w:hint="eastAsia" w:ascii="仿宋" w:hAnsi="仿宋" w:eastAsia="仿宋" w:cs="仿宋_GB2312"/>
          <w:kern w:val="0"/>
          <w:sz w:val="32"/>
          <w:szCs w:val="32"/>
          <w:lang w:val="en-US" w:eastAsia="zh-CN"/>
        </w:rPr>
        <w:t>1</w:t>
      </w:r>
      <w:r>
        <w:rPr>
          <w:rFonts w:hint="eastAsia" w:ascii="仿宋" w:hAnsi="仿宋" w:eastAsia="仿宋" w:cs="宋体"/>
          <w:kern w:val="0"/>
          <w:sz w:val="32"/>
          <w:szCs w:val="32"/>
        </w:rPr>
        <w:t>万元，其中：公务用车运行费</w:t>
      </w:r>
      <w:r>
        <w:rPr>
          <w:rFonts w:hint="eastAsia" w:ascii="仿宋" w:hAnsi="仿宋" w:eastAsia="仿宋" w:cs="仿宋_GB2312"/>
          <w:kern w:val="0"/>
          <w:sz w:val="32"/>
          <w:szCs w:val="32"/>
          <w:lang w:val="en-US" w:eastAsia="zh-CN"/>
        </w:rPr>
        <w:t>1</w:t>
      </w:r>
      <w:r>
        <w:rPr>
          <w:rFonts w:hint="eastAsia" w:ascii="仿宋" w:hAnsi="仿宋" w:eastAsia="仿宋" w:cs="宋体"/>
          <w:kern w:val="0"/>
          <w:sz w:val="32"/>
          <w:szCs w:val="32"/>
        </w:rPr>
        <w:t>万元，</w:t>
      </w:r>
      <w:r>
        <w:rPr>
          <w:rFonts w:hint="eastAsia" w:ascii="仿宋" w:hAnsi="仿宋" w:eastAsia="仿宋" w:cs="仿宋_GB2312"/>
          <w:sz w:val="32"/>
          <w:szCs w:val="32"/>
        </w:rPr>
        <w:t>比上年增减</w:t>
      </w:r>
      <w:r>
        <w:rPr>
          <w:rFonts w:hint="eastAsia" w:ascii="仿宋" w:hAnsi="仿宋" w:eastAsia="仿宋" w:cs="仿宋_GB2312"/>
          <w:sz w:val="32"/>
          <w:szCs w:val="32"/>
          <w:lang w:val="en-US" w:eastAsia="zh-CN"/>
        </w:rPr>
        <w:t>0.00</w:t>
      </w:r>
      <w:r>
        <w:rPr>
          <w:rFonts w:hint="eastAsia" w:ascii="仿宋" w:hAnsi="仿宋" w:eastAsia="仿宋" w:cs="仿宋_GB2312"/>
          <w:kern w:val="0"/>
          <w:sz w:val="32"/>
          <w:szCs w:val="32"/>
        </w:rPr>
        <w:t>万元，</w:t>
      </w:r>
      <w:r>
        <w:rPr>
          <w:rFonts w:hint="eastAsia" w:ascii="仿宋" w:hAnsi="仿宋" w:eastAsia="仿宋" w:cs="仿宋_GB2312"/>
          <w:sz w:val="32"/>
          <w:szCs w:val="32"/>
        </w:rPr>
        <w:t>与上年持平；</w:t>
      </w:r>
      <w:r>
        <w:rPr>
          <w:rFonts w:hint="eastAsia" w:ascii="仿宋" w:hAnsi="仿宋" w:eastAsia="仿宋" w:cs="宋体"/>
          <w:kern w:val="0"/>
          <w:sz w:val="32"/>
          <w:szCs w:val="32"/>
        </w:rPr>
        <w:t>公务用车购置费</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w:t>
      </w:r>
      <w:r>
        <w:rPr>
          <w:rFonts w:hint="eastAsia" w:ascii="仿宋" w:hAnsi="仿宋" w:eastAsia="仿宋" w:cs="仿宋_GB2312"/>
          <w:sz w:val="32"/>
          <w:szCs w:val="32"/>
        </w:rPr>
        <w:t>比上年增加</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万元，</w:t>
      </w:r>
      <w:r>
        <w:rPr>
          <w:rFonts w:hint="eastAsia" w:ascii="仿宋" w:hAnsi="仿宋" w:eastAsia="仿宋" w:cs="仿宋_GB2312"/>
          <w:sz w:val="32"/>
          <w:szCs w:val="32"/>
          <w:lang w:eastAsia="zh-CN"/>
        </w:rPr>
        <w:t>与上年持平</w:t>
      </w:r>
      <w:r>
        <w:rPr>
          <w:rFonts w:hint="eastAsia" w:ascii="仿宋" w:hAnsi="仿宋" w:eastAsia="仿宋" w:cs="仿宋_GB2312"/>
          <w:sz w:val="32"/>
          <w:szCs w:val="32"/>
        </w:rPr>
        <w:t>。主要原因是:</w:t>
      </w:r>
      <w:r>
        <w:rPr>
          <w:rFonts w:hint="eastAsia" w:ascii="仿宋" w:hAnsi="仿宋" w:eastAsia="仿宋" w:cs="仿宋_GB2312"/>
          <w:sz w:val="32"/>
          <w:szCs w:val="32"/>
          <w:lang w:eastAsia="zh-CN"/>
        </w:rPr>
        <w:t>本年度未安排公车购置。</w:t>
      </w:r>
    </w:p>
    <w:p>
      <w:pPr>
        <w:spacing w:line="600" w:lineRule="exact"/>
        <w:outlineLvl w:val="1"/>
        <w:rPr>
          <w:rFonts w:ascii="黑体" w:hAnsi="黑体" w:eastAsia="黑体"/>
          <w:b w:val="0"/>
          <w:sz w:val="32"/>
          <w:szCs w:val="32"/>
        </w:rPr>
      </w:pPr>
      <w:bookmarkStart w:id="23" w:name="_Toc10314"/>
      <w:r>
        <w:rPr>
          <w:rFonts w:hint="eastAsia" w:ascii="黑体" w:hAnsi="黑体" w:eastAsia="黑体" w:cstheme="minorBidi"/>
          <w:b w:val="0"/>
          <w:kern w:val="2"/>
          <w:sz w:val="32"/>
          <w:szCs w:val="32"/>
          <w:lang w:eastAsia="zh-CN"/>
        </w:rPr>
        <w:t>七、预算绩效目标情况</w:t>
      </w:r>
      <w:bookmarkEnd w:id="23"/>
    </w:p>
    <w:p>
      <w:pPr>
        <w:widowControl/>
        <w:adjustRightInd w:val="0"/>
        <w:snapToGrid w:val="0"/>
        <w:spacing w:line="600" w:lineRule="exact"/>
        <w:ind w:firstLine="660"/>
        <w:outlineLvl w:val="2"/>
        <w:rPr>
          <w:rFonts w:hint="eastAsia" w:ascii="仿宋" w:hAnsi="仿宋" w:eastAsia="仿宋" w:cs="仿宋_GB2312"/>
          <w:sz w:val="32"/>
          <w:szCs w:val="32"/>
        </w:rPr>
      </w:pPr>
      <w:r>
        <w:rPr>
          <w:rFonts w:hint="eastAsia" w:ascii="仿宋" w:hAnsi="仿宋" w:eastAsia="仿宋" w:cs="仿宋_GB2312"/>
          <w:sz w:val="32"/>
          <w:szCs w:val="32"/>
        </w:rPr>
        <w:t>（一）绩效目标设置情况</w:t>
      </w:r>
    </w:p>
    <w:p>
      <w:pPr>
        <w:spacing w:line="590" w:lineRule="exact"/>
        <w:ind w:firstLine="627" w:firstLineChars="196"/>
        <w:rPr>
          <w:rFonts w:ascii="仿宋" w:hAnsi="仿宋" w:eastAsia="仿宋" w:cs="仿宋_GB2312"/>
          <w:kern w:val="0"/>
          <w:sz w:val="32"/>
          <w:szCs w:val="32"/>
        </w:rPr>
      </w:pPr>
      <w:r>
        <w:rPr>
          <w:rFonts w:hint="eastAsia" w:ascii="仿宋" w:hAnsi="仿宋" w:eastAsia="仿宋" w:cs="仿宋_GB2312"/>
          <w:kern w:val="0"/>
          <w:sz w:val="32"/>
          <w:szCs w:val="32"/>
          <w:lang w:val="en-US" w:eastAsia="zh-CN"/>
        </w:rPr>
        <w:t>2024</w:t>
      </w:r>
      <w:r>
        <w:rPr>
          <w:rFonts w:hint="eastAsia" w:ascii="仿宋" w:hAnsi="仿宋" w:eastAsia="仿宋" w:cs="仿宋_GB2312"/>
          <w:kern w:val="0"/>
          <w:sz w:val="32"/>
          <w:szCs w:val="32"/>
        </w:rPr>
        <w:t>年，</w:t>
      </w:r>
      <w:r>
        <w:rPr>
          <w:rFonts w:hint="eastAsia" w:ascii="仿宋" w:hAnsi="仿宋" w:eastAsia="仿宋" w:cs="仿宋_GB2312"/>
          <w:kern w:val="0"/>
          <w:sz w:val="32"/>
          <w:szCs w:val="32"/>
          <w:lang w:eastAsia="zh-CN"/>
        </w:rPr>
        <w:t>福州市鼓楼区商务局</w:t>
      </w:r>
      <w:r>
        <w:rPr>
          <w:rFonts w:hint="eastAsia" w:ascii="仿宋" w:hAnsi="仿宋" w:eastAsia="仿宋" w:cs="仿宋_GB2312"/>
          <w:kern w:val="0"/>
          <w:sz w:val="32"/>
          <w:szCs w:val="32"/>
        </w:rPr>
        <w:t>共设置</w:t>
      </w:r>
      <w:r>
        <w:rPr>
          <w:rFonts w:hint="eastAsia" w:ascii="仿宋" w:hAnsi="仿宋" w:eastAsia="仿宋" w:cs="仿宋_GB2312"/>
          <w:kern w:val="0"/>
          <w:sz w:val="32"/>
          <w:szCs w:val="32"/>
          <w:lang w:val="en-US" w:eastAsia="zh-CN"/>
        </w:rPr>
        <w:t>1</w:t>
      </w:r>
      <w:r>
        <w:rPr>
          <w:rFonts w:hint="eastAsia" w:ascii="仿宋" w:hAnsi="仿宋" w:eastAsia="仿宋" w:cs="仿宋_GB2312"/>
          <w:kern w:val="0"/>
          <w:sz w:val="32"/>
          <w:szCs w:val="32"/>
        </w:rPr>
        <w:t>个项目绩效目标，共涉及财政拨款资金</w:t>
      </w:r>
      <w:r>
        <w:rPr>
          <w:rFonts w:hint="eastAsia" w:ascii="仿宋" w:hAnsi="仿宋" w:eastAsia="仿宋" w:cs="仿宋_GB2312"/>
          <w:kern w:val="0"/>
          <w:sz w:val="32"/>
          <w:szCs w:val="32"/>
          <w:lang w:val="en-US" w:eastAsia="zh-CN"/>
        </w:rPr>
        <w:t>700</w:t>
      </w:r>
      <w:r>
        <w:rPr>
          <w:rFonts w:hint="eastAsia" w:ascii="仿宋" w:hAnsi="仿宋" w:eastAsia="仿宋" w:cs="仿宋_GB2312"/>
          <w:kern w:val="0"/>
          <w:sz w:val="32"/>
          <w:szCs w:val="32"/>
        </w:rPr>
        <w:t>万元</w:t>
      </w:r>
    </w:p>
    <w:p>
      <w:pPr>
        <w:widowControl/>
        <w:adjustRightInd w:val="0"/>
        <w:snapToGrid w:val="0"/>
        <w:spacing w:line="600" w:lineRule="exact"/>
        <w:ind w:firstLine="660"/>
        <w:outlineLvl w:val="2"/>
        <w:rPr>
          <w:rFonts w:hint="eastAsia" w:ascii="仿宋" w:hAnsi="仿宋" w:eastAsia="仿宋" w:cs="仿宋_GB2312"/>
          <w:sz w:val="32"/>
          <w:szCs w:val="32"/>
        </w:rPr>
      </w:pPr>
      <w:r>
        <w:rPr>
          <w:rFonts w:hint="eastAsia" w:ascii="仿宋" w:hAnsi="仿宋" w:eastAsia="仿宋" w:cs="仿宋_GB2312"/>
          <w:sz w:val="32"/>
          <w:szCs w:val="32"/>
        </w:rPr>
        <w:t>（二）绩效目标表及说明</w:t>
      </w:r>
    </w:p>
    <w:p>
      <w:pPr>
        <w:widowControl/>
        <w:adjustRightInd w:val="0"/>
        <w:snapToGrid w:val="0"/>
        <w:spacing w:line="600" w:lineRule="exact"/>
        <w:ind w:firstLine="660"/>
        <w:rPr>
          <w:rFonts w:hint="eastAsia" w:ascii="仿宋" w:hAnsi="仿宋" w:eastAsia="仿宋" w:cs="仿宋_GB2312"/>
          <w:sz w:val="32"/>
          <w:szCs w:val="32"/>
        </w:rPr>
      </w:pPr>
      <w:r>
        <w:rPr>
          <w:rFonts w:hint="eastAsia" w:ascii="仿宋" w:hAnsi="仿宋" w:eastAsia="仿宋" w:cs="仿宋_GB2312"/>
          <w:sz w:val="32"/>
          <w:szCs w:val="32"/>
        </w:rPr>
        <w:t>1.项目支出绩效目标表</w:t>
      </w:r>
    </w:p>
    <w:p>
      <w:pPr>
        <w:pStyle w:val="2"/>
        <w:rPr>
          <w:rFonts w:hint="eastAsia"/>
        </w:rPr>
      </w:pPr>
    </w:p>
    <w:tbl>
      <w:tblPr>
        <w:tblStyle w:val="13"/>
        <w:tblW w:w="86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54"/>
        <w:gridCol w:w="1168"/>
        <w:gridCol w:w="1900"/>
        <w:gridCol w:w="2266"/>
        <w:gridCol w:w="1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8616" w:type="dxa"/>
            <w:gridSpan w:val="5"/>
            <w:tcBorders>
              <w:top w:val="nil"/>
              <w:left w:val="nil"/>
              <w:bottom w:val="single" w:color="000000" w:sz="4" w:space="0"/>
              <w:right w:val="nil"/>
            </w:tcBorders>
            <w:shd w:val="clear" w:color="auto" w:fill="auto"/>
            <w:vAlign w:val="top"/>
          </w:tcPr>
          <w:p>
            <w:pPr>
              <w:keepNext w:val="0"/>
              <w:keepLines w:val="0"/>
              <w:widowControl/>
              <w:suppressLineNumbers w:val="0"/>
              <w:jc w:val="center"/>
              <w:textAlignment w:val="top"/>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兑现以前年度企业奖补区级配套经费绩效目标表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资金总额： </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财政拨款：</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其中：当年财政拨款：</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上年结转结余财政拨款：</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其他资金：</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总体目标</w:t>
            </w:r>
          </w:p>
        </w:tc>
        <w:tc>
          <w:tcPr>
            <w:tcW w:w="6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兑现以前年度企业奖补区级配套资金更好完成上级下达任务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资金控制率</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补助企业数</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资金结算下达拨付准确率</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支付结算及时率</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服务外包执行金额</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≥6.6亿美元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奖补对象满意度</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bl>
    <w:p>
      <w:pPr>
        <w:widowControl/>
        <w:adjustRightInd w:val="0"/>
        <w:snapToGrid w:val="0"/>
        <w:spacing w:line="600" w:lineRule="exact"/>
        <w:ind w:firstLine="660"/>
        <w:rPr>
          <w:rFonts w:hint="eastAsia" w:ascii="仿宋" w:hAnsi="仿宋" w:eastAsia="仿宋" w:cs="仿宋_GB2312"/>
          <w:sz w:val="32"/>
          <w:szCs w:val="32"/>
        </w:rPr>
      </w:pPr>
      <w:r>
        <w:rPr>
          <w:rFonts w:hint="eastAsia" w:ascii="仿宋" w:hAnsi="仿宋" w:eastAsia="仿宋" w:cs="仿宋_GB2312"/>
          <w:sz w:val="32"/>
          <w:szCs w:val="32"/>
        </w:rPr>
        <w:t>2.有关情况说明</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kern w:val="0"/>
          <w:sz w:val="32"/>
          <w:szCs w:val="32"/>
          <w:lang w:eastAsia="zh-CN"/>
        </w:rPr>
        <w:t>本部门无其他需要说明的绩效目标情况</w:t>
      </w:r>
      <w:r>
        <w:rPr>
          <w:rFonts w:hint="eastAsia" w:ascii="仿宋" w:hAnsi="仿宋" w:eastAsia="仿宋" w:cs="仿宋_GB2312"/>
          <w:sz w:val="32"/>
          <w:szCs w:val="32"/>
        </w:rPr>
        <w:t>。</w:t>
      </w:r>
    </w:p>
    <w:p>
      <w:pPr>
        <w:spacing w:line="600" w:lineRule="exact"/>
        <w:outlineLvl w:val="1"/>
        <w:rPr>
          <w:rFonts w:ascii="黑体" w:hAnsi="黑体" w:eastAsia="黑体"/>
          <w:b w:val="0"/>
          <w:sz w:val="32"/>
          <w:szCs w:val="32"/>
        </w:rPr>
      </w:pPr>
      <w:bookmarkStart w:id="24" w:name="_Toc2301"/>
      <w:r>
        <w:rPr>
          <w:rFonts w:hint="eastAsia" w:ascii="黑体" w:hAnsi="黑体" w:eastAsia="黑体"/>
          <w:b w:val="0"/>
          <w:sz w:val="32"/>
          <w:szCs w:val="32"/>
        </w:rPr>
        <w:t>八、其他重要事项说明</w:t>
      </w:r>
      <w:bookmarkEnd w:id="24"/>
    </w:p>
    <w:p>
      <w:pPr>
        <w:widowControl/>
        <w:adjustRightInd w:val="0"/>
        <w:snapToGrid w:val="0"/>
        <w:spacing w:line="600" w:lineRule="exact"/>
        <w:ind w:firstLine="660"/>
        <w:outlineLvl w:val="2"/>
        <w:rPr>
          <w:rFonts w:hint="eastAsia" w:ascii="仿宋" w:hAnsi="仿宋" w:eastAsia="仿宋" w:cs="仿宋_GB2312"/>
          <w:sz w:val="32"/>
          <w:szCs w:val="32"/>
        </w:rPr>
      </w:pPr>
      <w:r>
        <w:rPr>
          <w:rFonts w:hint="eastAsia" w:ascii="仿宋" w:hAnsi="仿宋" w:eastAsia="仿宋" w:cs="仿宋_GB2312"/>
          <w:sz w:val="32"/>
          <w:szCs w:val="32"/>
        </w:rPr>
        <w:t>（一）机关运行经费</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kern w:val="0"/>
          <w:sz w:val="32"/>
          <w:szCs w:val="32"/>
          <w:lang w:eastAsia="zh-CN"/>
        </w:rPr>
        <w:t>2024年</w:t>
      </w:r>
      <w:r>
        <w:rPr>
          <w:rFonts w:hint="eastAsia" w:ascii="仿宋" w:hAnsi="仿宋" w:eastAsia="仿宋"/>
          <w:sz w:val="32"/>
          <w:szCs w:val="32"/>
        </w:rPr>
        <w:t>，</w:t>
      </w:r>
      <w:r>
        <w:rPr>
          <w:rFonts w:hint="eastAsia" w:ascii="仿宋" w:hAnsi="仿宋" w:eastAsia="仿宋" w:cs="仿宋_GB2312"/>
          <w:kern w:val="0"/>
          <w:sz w:val="32"/>
          <w:szCs w:val="32"/>
          <w:lang w:eastAsia="zh-CN"/>
        </w:rPr>
        <w:t>福州市鼓楼区商务局本级</w:t>
      </w:r>
      <w:r>
        <w:rPr>
          <w:rFonts w:hint="eastAsia" w:ascii="仿宋" w:hAnsi="仿宋" w:eastAsia="仿宋"/>
          <w:sz w:val="32"/>
          <w:szCs w:val="32"/>
        </w:rPr>
        <w:t>一般公共预算拨款安排的机关运行经费支出</w:t>
      </w:r>
      <w:r>
        <w:rPr>
          <w:rFonts w:hint="eastAsia" w:ascii="仿宋" w:hAnsi="仿宋" w:eastAsia="仿宋" w:cs="仿宋_GB2312"/>
          <w:kern w:val="0"/>
          <w:sz w:val="32"/>
          <w:szCs w:val="32"/>
          <w:lang w:val="en-US" w:eastAsia="zh-CN"/>
        </w:rPr>
        <w:t>171.44</w:t>
      </w:r>
      <w:r>
        <w:rPr>
          <w:rFonts w:hint="eastAsia" w:ascii="仿宋" w:hAnsi="仿宋" w:eastAsia="仿宋"/>
          <w:sz w:val="32"/>
          <w:szCs w:val="32"/>
        </w:rPr>
        <w:t>万元，</w:t>
      </w:r>
      <w:r>
        <w:rPr>
          <w:rFonts w:hint="eastAsia" w:ascii="仿宋" w:hAnsi="仿宋" w:eastAsia="仿宋" w:cs="仿宋_GB2312"/>
          <w:sz w:val="32"/>
          <w:szCs w:val="32"/>
        </w:rPr>
        <w:t>比上年增加</w:t>
      </w:r>
      <w:r>
        <w:rPr>
          <w:rFonts w:hint="eastAsia" w:ascii="仿宋" w:hAnsi="仿宋" w:eastAsia="仿宋" w:cs="仿宋_GB2312"/>
          <w:sz w:val="32"/>
          <w:szCs w:val="32"/>
          <w:lang w:val="en-US" w:eastAsia="zh-CN"/>
        </w:rPr>
        <w:t>156.88</w:t>
      </w:r>
      <w:r>
        <w:rPr>
          <w:rFonts w:hint="eastAsia" w:ascii="仿宋" w:hAnsi="仿宋" w:eastAsia="仿宋" w:cs="仿宋_GB2312"/>
          <w:kern w:val="0"/>
          <w:sz w:val="32"/>
          <w:szCs w:val="32"/>
        </w:rPr>
        <w:t>万元，</w:t>
      </w:r>
      <w:r>
        <w:rPr>
          <w:rFonts w:hint="eastAsia" w:ascii="仿宋" w:hAnsi="仿宋" w:eastAsia="仿宋" w:cs="仿宋_GB2312"/>
          <w:sz w:val="32"/>
          <w:szCs w:val="32"/>
        </w:rPr>
        <w:t>增长</w:t>
      </w:r>
      <w:r>
        <w:rPr>
          <w:rFonts w:hint="eastAsia" w:ascii="仿宋" w:hAnsi="仿宋" w:eastAsia="仿宋" w:cs="仿宋_GB2312"/>
          <w:sz w:val="32"/>
          <w:szCs w:val="32"/>
          <w:lang w:val="en-US" w:eastAsia="zh-CN"/>
        </w:rPr>
        <w:t>91.5</w:t>
      </w:r>
      <w:r>
        <w:rPr>
          <w:rFonts w:ascii="仿宋" w:hAnsi="仿宋" w:eastAsia="仿宋" w:cs="仿宋_GB2312"/>
          <w:sz w:val="32"/>
          <w:szCs w:val="32"/>
        </w:rPr>
        <w:t>%</w:t>
      </w:r>
      <w:r>
        <w:rPr>
          <w:rFonts w:hint="eastAsia" w:ascii="仿宋" w:hAnsi="仿宋" w:eastAsia="仿宋"/>
          <w:sz w:val="32"/>
          <w:szCs w:val="32"/>
        </w:rPr>
        <w:t>。主要原因是</w:t>
      </w:r>
      <w:r>
        <w:rPr>
          <w:rFonts w:hint="eastAsia" w:ascii="仿宋" w:hAnsi="仿宋" w:eastAsia="仿宋" w:cs="仿宋_GB2312"/>
          <w:sz w:val="32"/>
          <w:szCs w:val="32"/>
          <w:lang w:eastAsia="zh-CN"/>
        </w:rPr>
        <w:t>本年度增加临时工经费</w:t>
      </w:r>
      <w:r>
        <w:rPr>
          <w:rFonts w:hint="eastAsia" w:ascii="仿宋" w:hAnsi="仿宋" w:eastAsia="仿宋" w:cs="仿宋_GB2312"/>
          <w:sz w:val="32"/>
          <w:szCs w:val="32"/>
        </w:rPr>
        <w:t>。</w:t>
      </w:r>
    </w:p>
    <w:p>
      <w:pPr>
        <w:widowControl/>
        <w:adjustRightInd w:val="0"/>
        <w:snapToGrid w:val="0"/>
        <w:spacing w:line="600" w:lineRule="exact"/>
        <w:ind w:firstLine="660"/>
        <w:outlineLvl w:val="2"/>
        <w:rPr>
          <w:rFonts w:hint="eastAsia" w:ascii="仿宋" w:hAnsi="仿宋" w:eastAsia="仿宋" w:cs="仿宋_GB2312"/>
          <w:sz w:val="32"/>
          <w:szCs w:val="32"/>
        </w:rPr>
      </w:pPr>
      <w:r>
        <w:rPr>
          <w:rFonts w:hint="eastAsia" w:ascii="仿宋" w:hAnsi="仿宋" w:eastAsia="仿宋" w:cs="仿宋_GB2312"/>
          <w:sz w:val="32"/>
          <w:szCs w:val="32"/>
        </w:rPr>
        <w:t>（二）政府采购情况</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lang w:eastAsia="zh-CN"/>
        </w:rPr>
        <w:t>2024年</w:t>
      </w:r>
      <w:r>
        <w:rPr>
          <w:rFonts w:hint="eastAsia" w:ascii="仿宋" w:hAnsi="仿宋" w:eastAsia="仿宋"/>
          <w:kern w:val="0"/>
          <w:sz w:val="32"/>
          <w:szCs w:val="32"/>
        </w:rPr>
        <w:t>，</w:t>
      </w:r>
      <w:r>
        <w:rPr>
          <w:rFonts w:hint="eastAsia" w:ascii="仿宋" w:hAnsi="仿宋" w:eastAsia="仿宋" w:cs="仿宋_GB2312"/>
          <w:kern w:val="0"/>
          <w:sz w:val="32"/>
          <w:szCs w:val="32"/>
          <w:lang w:eastAsia="zh-CN"/>
        </w:rPr>
        <w:t>福州市鼓楼区商务局本级</w:t>
      </w:r>
      <w:r>
        <w:rPr>
          <w:rFonts w:hint="eastAsia" w:ascii="仿宋" w:hAnsi="仿宋" w:eastAsia="仿宋"/>
          <w:kern w:val="0"/>
          <w:sz w:val="32"/>
          <w:szCs w:val="32"/>
        </w:rPr>
        <w:t>政府采购预算总额</w:t>
      </w:r>
      <w:r>
        <w:rPr>
          <w:rFonts w:hint="eastAsia" w:ascii="仿宋" w:hAnsi="仿宋" w:eastAsia="仿宋"/>
          <w:kern w:val="0"/>
          <w:sz w:val="32"/>
          <w:szCs w:val="32"/>
          <w:lang w:val="en-US" w:eastAsia="zh-CN"/>
        </w:rPr>
        <w:t>0.5</w:t>
      </w:r>
      <w:r>
        <w:rPr>
          <w:rFonts w:hint="eastAsia" w:ascii="仿宋" w:hAnsi="仿宋" w:eastAsia="仿宋"/>
          <w:kern w:val="0"/>
          <w:sz w:val="32"/>
          <w:szCs w:val="32"/>
        </w:rPr>
        <w:t>万元，其中：政府采购货物预算</w:t>
      </w:r>
      <w:r>
        <w:rPr>
          <w:rFonts w:hint="eastAsia" w:ascii="仿宋" w:hAnsi="仿宋" w:eastAsia="仿宋"/>
          <w:kern w:val="0"/>
          <w:sz w:val="32"/>
          <w:szCs w:val="32"/>
          <w:lang w:val="en-US" w:eastAsia="zh-CN"/>
        </w:rPr>
        <w:t>0.5</w:t>
      </w:r>
      <w:r>
        <w:rPr>
          <w:rFonts w:hint="eastAsia" w:ascii="仿宋" w:hAnsi="仿宋" w:eastAsia="仿宋"/>
          <w:kern w:val="0"/>
          <w:sz w:val="32"/>
          <w:szCs w:val="32"/>
        </w:rPr>
        <w:t>万元、政府采购工程预算</w:t>
      </w:r>
      <w:r>
        <w:rPr>
          <w:rFonts w:hint="eastAsia" w:ascii="仿宋" w:hAnsi="仿宋" w:eastAsia="仿宋"/>
          <w:kern w:val="0"/>
          <w:sz w:val="32"/>
          <w:szCs w:val="32"/>
          <w:lang w:val="en-US" w:eastAsia="zh-CN"/>
        </w:rPr>
        <w:t>0</w:t>
      </w:r>
      <w:r>
        <w:rPr>
          <w:rFonts w:hint="eastAsia" w:ascii="仿宋" w:hAnsi="仿宋" w:eastAsia="仿宋"/>
          <w:kern w:val="0"/>
          <w:sz w:val="32"/>
          <w:szCs w:val="32"/>
        </w:rPr>
        <w:t>万元、政府采购服务预算</w:t>
      </w:r>
      <w:r>
        <w:rPr>
          <w:rFonts w:hint="eastAsia" w:ascii="仿宋" w:hAnsi="仿宋" w:eastAsia="仿宋"/>
          <w:kern w:val="0"/>
          <w:sz w:val="32"/>
          <w:szCs w:val="32"/>
          <w:lang w:val="en-US" w:eastAsia="zh-CN"/>
        </w:rPr>
        <w:t>0</w:t>
      </w:r>
      <w:r>
        <w:rPr>
          <w:rFonts w:hint="eastAsia" w:ascii="仿宋" w:hAnsi="仿宋" w:eastAsia="仿宋"/>
          <w:kern w:val="0"/>
          <w:sz w:val="32"/>
          <w:szCs w:val="32"/>
        </w:rPr>
        <w:t>万元。</w:t>
      </w:r>
    </w:p>
    <w:p>
      <w:pPr>
        <w:widowControl/>
        <w:adjustRightInd w:val="0"/>
        <w:snapToGrid w:val="0"/>
        <w:spacing w:line="600" w:lineRule="exact"/>
        <w:ind w:firstLine="660"/>
        <w:outlineLvl w:val="2"/>
        <w:rPr>
          <w:rFonts w:hint="eastAsia" w:ascii="仿宋" w:hAnsi="仿宋" w:eastAsia="仿宋" w:cs="仿宋_GB2312"/>
          <w:sz w:val="32"/>
          <w:szCs w:val="32"/>
        </w:rPr>
      </w:pPr>
      <w:r>
        <w:rPr>
          <w:rFonts w:hint="eastAsia" w:ascii="仿宋" w:hAnsi="仿宋" w:eastAsia="仿宋" w:cs="仿宋_GB2312"/>
          <w:sz w:val="32"/>
          <w:szCs w:val="32"/>
        </w:rPr>
        <w:t>（三）国有资产占用使用情况</w:t>
      </w:r>
    </w:p>
    <w:p>
      <w:pPr>
        <w:spacing w:line="600" w:lineRule="exact"/>
        <w:ind w:firstLine="640" w:firstLineChars="200"/>
        <w:rPr>
          <w:rFonts w:ascii="仿宋" w:hAnsi="仿宋" w:eastAsia="仿宋" w:cs="仿宋_GB2312"/>
          <w:kern w:val="0"/>
          <w:sz w:val="32"/>
          <w:szCs w:val="32"/>
        </w:rPr>
      </w:pPr>
      <w:r>
        <w:rPr>
          <w:rFonts w:hint="eastAsia" w:ascii="仿宋" w:hAnsi="仿宋" w:eastAsia="仿宋"/>
          <w:sz w:val="32"/>
          <w:szCs w:val="32"/>
        </w:rPr>
        <w:t>截至</w:t>
      </w:r>
      <w:r>
        <w:rPr>
          <w:rFonts w:hint="eastAsia" w:ascii="仿宋" w:hAnsi="仿宋" w:eastAsia="仿宋" w:cs="仿宋_GB2312"/>
          <w:kern w:val="0"/>
          <w:sz w:val="32"/>
          <w:szCs w:val="32"/>
          <w:lang w:eastAsia="zh-CN"/>
        </w:rPr>
        <w:t>202</w:t>
      </w:r>
      <w:r>
        <w:rPr>
          <w:rFonts w:hint="eastAsia" w:ascii="仿宋" w:hAnsi="仿宋" w:eastAsia="仿宋" w:cs="仿宋_GB2312"/>
          <w:kern w:val="0"/>
          <w:sz w:val="32"/>
          <w:szCs w:val="32"/>
          <w:lang w:val="en-US" w:eastAsia="zh-CN"/>
        </w:rPr>
        <w:t>3</w:t>
      </w:r>
      <w:r>
        <w:rPr>
          <w:rFonts w:hint="eastAsia" w:ascii="仿宋" w:hAnsi="仿宋" w:eastAsia="仿宋" w:cs="仿宋_GB2312"/>
          <w:kern w:val="0"/>
          <w:sz w:val="32"/>
          <w:szCs w:val="32"/>
          <w:lang w:eastAsia="zh-CN"/>
        </w:rPr>
        <w:t>年</w:t>
      </w:r>
      <w:r>
        <w:rPr>
          <w:rFonts w:hint="eastAsia" w:ascii="仿宋" w:hAnsi="仿宋" w:eastAsia="仿宋" w:cs="仿宋_GB2312"/>
          <w:kern w:val="0"/>
          <w:sz w:val="32"/>
          <w:szCs w:val="32"/>
        </w:rPr>
        <w:t>12月31日，</w:t>
      </w:r>
      <w:r>
        <w:rPr>
          <w:rFonts w:hint="eastAsia" w:ascii="仿宋" w:hAnsi="仿宋" w:eastAsia="仿宋" w:cs="仿宋_GB2312"/>
          <w:kern w:val="0"/>
          <w:sz w:val="32"/>
          <w:szCs w:val="32"/>
          <w:lang w:eastAsia="zh-CN"/>
        </w:rPr>
        <w:t>福州市鼓楼区商务局本级</w:t>
      </w:r>
      <w:r>
        <w:rPr>
          <w:rFonts w:hint="eastAsia" w:ascii="仿宋" w:hAnsi="仿宋" w:eastAsia="仿宋"/>
          <w:sz w:val="32"/>
          <w:szCs w:val="32"/>
        </w:rPr>
        <w:t>共有车辆</w:t>
      </w:r>
      <w:r>
        <w:rPr>
          <w:rFonts w:hint="eastAsia" w:ascii="仿宋" w:hAnsi="仿宋" w:eastAsia="仿宋" w:cs="仿宋_GB2312"/>
          <w:kern w:val="0"/>
          <w:sz w:val="32"/>
          <w:szCs w:val="32"/>
          <w:lang w:val="en-US" w:eastAsia="zh-CN"/>
        </w:rPr>
        <w:t>1</w:t>
      </w:r>
      <w:r>
        <w:rPr>
          <w:rFonts w:hint="eastAsia" w:ascii="仿宋" w:hAnsi="仿宋" w:eastAsia="仿宋"/>
          <w:sz w:val="32"/>
          <w:szCs w:val="32"/>
        </w:rPr>
        <w:t>辆，其中：省部级领导干部用车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辆、机要通信用车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辆、应急保障用车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辆、执法执勤用车</w:t>
      </w:r>
      <w:r>
        <w:rPr>
          <w:rFonts w:hint="eastAsia" w:ascii="仿宋" w:hAnsi="仿宋" w:eastAsia="仿宋" w:cs="仿宋_GB2312"/>
          <w:kern w:val="0"/>
          <w:sz w:val="32"/>
          <w:szCs w:val="32"/>
          <w:lang w:val="en-US" w:eastAsia="zh-CN"/>
        </w:rPr>
        <w:t>1</w:t>
      </w:r>
      <w:r>
        <w:rPr>
          <w:rFonts w:hint="eastAsia" w:ascii="仿宋" w:hAnsi="仿宋" w:eastAsia="仿宋"/>
          <w:sz w:val="32"/>
          <w:szCs w:val="32"/>
        </w:rPr>
        <w:t>辆、特种专业技术用车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辆、其他用车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辆。单位价值100万元（含）以上设备</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台（套）。</w:t>
      </w:r>
    </w:p>
    <w:p>
      <w:pPr>
        <w:ind w:firstLine="640" w:firstLineChars="200"/>
        <w:rPr>
          <w:rFonts w:ascii="仿宋" w:hAnsi="仿宋" w:eastAsia="仿宋" w:cs="楷体"/>
          <w:kern w:val="0"/>
          <w:sz w:val="32"/>
          <w:szCs w:val="32"/>
        </w:rPr>
      </w:pPr>
    </w:p>
    <w:p>
      <w:pPr>
        <w:ind w:firstLine="640" w:firstLineChars="200"/>
        <w:rPr>
          <w:rFonts w:ascii="仿宋" w:hAnsi="仿宋" w:eastAsia="仿宋" w:cs="仿宋_GB2312"/>
          <w:kern w:val="0"/>
          <w:sz w:val="32"/>
          <w:szCs w:val="32"/>
        </w:rPr>
      </w:pPr>
    </w:p>
    <w:p>
      <w:pPr>
        <w:jc w:val="center"/>
        <w:rPr>
          <w:rFonts w:asciiTheme="majorEastAsia" w:hAnsiTheme="majorEastAsia" w:eastAsiaTheme="majorEastAsia"/>
          <w:b/>
          <w:sz w:val="40"/>
        </w:rPr>
        <w:sectPr>
          <w:pgSz w:w="11906" w:h="16838"/>
          <w:pgMar w:top="1440" w:right="1800" w:bottom="1440" w:left="1800" w:header="851" w:footer="992" w:gutter="0"/>
          <w:cols w:space="425" w:num="1"/>
          <w:docGrid w:type="lines" w:linePitch="312" w:charSpace="0"/>
        </w:sect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left"/>
        <w:outlineLvl w:val="0"/>
        <w:rPr>
          <w:rFonts w:ascii="黑体" w:hAnsi="黑体" w:eastAsia="黑体"/>
          <w:b w:val="0"/>
          <w:sz w:val="56"/>
        </w:rPr>
      </w:pPr>
      <w:bookmarkStart w:id="25" w:name="_Toc22170"/>
      <w:r>
        <w:rPr>
          <w:rFonts w:hint="eastAsia" w:ascii="黑体" w:hAnsi="黑体" w:eastAsia="黑体"/>
          <w:b w:val="0"/>
          <w:sz w:val="56"/>
        </w:rPr>
        <w:t>第四部分</w:t>
      </w:r>
      <w:r>
        <w:rPr>
          <w:rFonts w:ascii="黑体" w:hAnsi="黑体" w:eastAsia="黑体"/>
          <w:b w:val="0"/>
          <w:sz w:val="56"/>
        </w:rPr>
        <w:t xml:space="preserve"> </w:t>
      </w:r>
      <w:r>
        <w:rPr>
          <w:rFonts w:hint="eastAsia" w:ascii="黑体" w:hAnsi="黑体" w:eastAsia="黑体"/>
          <w:b w:val="0"/>
          <w:sz w:val="56"/>
        </w:rPr>
        <w:t>名词解释</w:t>
      </w:r>
      <w:bookmarkEnd w:id="25"/>
    </w:p>
    <w:p>
      <w:pPr>
        <w:jc w:val="center"/>
        <w:rPr>
          <w:rFonts w:asciiTheme="majorEastAsia" w:hAnsiTheme="majorEastAsia" w:eastAsiaTheme="majorEastAsia"/>
          <w:b/>
          <w:sz w:val="40"/>
        </w:rPr>
      </w:pPr>
    </w:p>
    <w:p>
      <w:pPr>
        <w:spacing w:line="600" w:lineRule="exact"/>
        <w:ind w:firstLine="707" w:firstLineChars="221"/>
        <w:rPr>
          <w:rFonts w:ascii="仿宋" w:hAnsi="仿宋" w:eastAsia="仿宋" w:cs="仿宋"/>
          <w:color w:val="000000"/>
          <w:kern w:val="0"/>
          <w:sz w:val="32"/>
          <w:szCs w:val="32"/>
        </w:rPr>
        <w:sectPr>
          <w:pgSz w:w="11906" w:h="16838"/>
          <w:pgMar w:top="1440" w:right="1800" w:bottom="1440" w:left="1800" w:header="851" w:footer="992" w:gutter="0"/>
          <w:cols w:space="425" w:num="1"/>
          <w:docGrid w:type="lines" w:linePitch="312" w:charSpace="0"/>
        </w:sectPr>
      </w:pP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指财政当年拨付的资金，包括一般公共预算拨款收入、政府性基金预算拨款收入、国有资本经营预算拨款收入。</w:t>
      </w:r>
      <w:r>
        <w:rPr>
          <w:rFonts w:ascii="仿宋" w:hAnsi="仿宋" w:eastAsia="仿宋" w:cs="仿宋"/>
          <w:color w:val="000000"/>
          <w:kern w:val="0"/>
          <w:sz w:val="32"/>
          <w:szCs w:val="32"/>
        </w:rPr>
        <w:t xml:space="preserve">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三、事业单位经营收入：</w:t>
      </w:r>
      <w:r>
        <w:rPr>
          <w:rFonts w:hint="eastAsia" w:ascii="仿宋" w:hAnsi="仿宋" w:eastAsia="仿宋" w:cs="仿宋"/>
          <w:color w:val="000000"/>
          <w:kern w:val="0"/>
          <w:sz w:val="32"/>
          <w:szCs w:val="32"/>
        </w:rPr>
        <w:t>指事业单位在专业业务活动及其辅助活动之外开展非独立核算经营活动取得的收入。</w:t>
      </w:r>
      <w:r>
        <w:rPr>
          <w:rFonts w:ascii="仿宋" w:hAnsi="仿宋" w:eastAsia="仿宋" w:cs="仿宋"/>
          <w:color w:val="000000"/>
          <w:kern w:val="0"/>
          <w:sz w:val="32"/>
          <w:szCs w:val="32"/>
        </w:rPr>
        <w:t xml:space="preserve">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事业单位经营收入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等以外的收入。主要是事业单位固定资产出租收入、存款利息收入等。</w:t>
      </w:r>
      <w:r>
        <w:rPr>
          <w:rFonts w:ascii="仿宋" w:hAnsi="仿宋" w:eastAsia="仿宋" w:cs="仿宋"/>
          <w:color w:val="000000"/>
          <w:kern w:val="0"/>
          <w:sz w:val="32"/>
          <w:szCs w:val="32"/>
        </w:rPr>
        <w:t xml:space="preserve"> </w:t>
      </w:r>
    </w:p>
    <w:p>
      <w:pPr>
        <w:spacing w:line="600" w:lineRule="exact"/>
        <w:ind w:firstLine="643" w:firstLineChars="200"/>
        <w:rPr>
          <w:rFonts w:ascii="仿宋" w:hAnsi="仿宋" w:eastAsia="仿宋" w:cs="仿宋"/>
          <w:color w:val="000000"/>
          <w:kern w:val="0"/>
          <w:sz w:val="32"/>
          <w:szCs w:val="32"/>
        </w:rPr>
      </w:pPr>
      <w:r>
        <w:rPr>
          <w:rFonts w:hint="eastAsia" w:ascii="仿宋" w:hAnsi="仿宋" w:eastAsia="仿宋" w:cs="仿宋"/>
          <w:b/>
          <w:color w:val="000000"/>
          <w:kern w:val="0"/>
          <w:sz w:val="32"/>
          <w:szCs w:val="32"/>
        </w:rPr>
        <w:t>五、结转结余资金：</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pPr>
        <w:pStyle w:val="19"/>
        <w:spacing w:line="600" w:lineRule="exact"/>
        <w:ind w:firstLine="640"/>
        <w:rPr>
          <w:rFonts w:hAnsi="仿宋"/>
          <w:sz w:val="32"/>
          <w:szCs w:val="32"/>
        </w:rPr>
      </w:pPr>
      <w:r>
        <w:rPr>
          <w:rFonts w:hint="eastAsia" w:hAnsi="仿宋"/>
          <w:b/>
          <w:sz w:val="32"/>
          <w:szCs w:val="32"/>
        </w:rPr>
        <w:t>六、基本支出：</w:t>
      </w:r>
      <w:r>
        <w:rPr>
          <w:rFonts w:hint="eastAsia" w:hAnsi="仿宋"/>
          <w:sz w:val="32"/>
          <w:szCs w:val="32"/>
        </w:rPr>
        <w:t>指为保障机构正常运转、完成日常工作任务而发生的人员支出和公用支出。</w:t>
      </w:r>
      <w:r>
        <w:rPr>
          <w:rFonts w:hAnsi="仿宋"/>
          <w:sz w:val="32"/>
          <w:szCs w:val="32"/>
        </w:rPr>
        <w:t xml:space="preserve"> </w:t>
      </w:r>
    </w:p>
    <w:p>
      <w:pPr>
        <w:pStyle w:val="19"/>
        <w:spacing w:line="600" w:lineRule="exact"/>
        <w:ind w:firstLine="640"/>
        <w:rPr>
          <w:rFonts w:hAnsi="仿宋"/>
          <w:sz w:val="32"/>
          <w:szCs w:val="32"/>
        </w:rPr>
      </w:pPr>
      <w:r>
        <w:rPr>
          <w:rFonts w:hint="eastAsia" w:hAnsi="仿宋"/>
          <w:b/>
          <w:sz w:val="32"/>
          <w:szCs w:val="32"/>
        </w:rPr>
        <w:t>七、项目支出：</w:t>
      </w:r>
      <w:r>
        <w:rPr>
          <w:rFonts w:hint="eastAsia" w:hAnsi="仿宋"/>
          <w:sz w:val="32"/>
          <w:szCs w:val="32"/>
        </w:rPr>
        <w:t>指在基本支出之外为完成特定行政任务或事业发展目标所发生的支出。</w:t>
      </w:r>
      <w:r>
        <w:rPr>
          <w:rFonts w:hAnsi="仿宋"/>
          <w:sz w:val="32"/>
          <w:szCs w:val="32"/>
        </w:rPr>
        <w:t xml:space="preserve"> </w:t>
      </w:r>
    </w:p>
    <w:p>
      <w:pPr>
        <w:pStyle w:val="19"/>
        <w:spacing w:line="600" w:lineRule="exact"/>
        <w:ind w:firstLine="640"/>
        <w:rPr>
          <w:rFonts w:hAnsi="仿宋"/>
          <w:sz w:val="32"/>
          <w:szCs w:val="32"/>
        </w:rPr>
      </w:pPr>
      <w:r>
        <w:rPr>
          <w:rFonts w:hint="eastAsia" w:hAnsi="仿宋"/>
          <w:b/>
          <w:sz w:val="32"/>
          <w:szCs w:val="32"/>
        </w:rPr>
        <w:t>八、事业单位经营支出：</w:t>
      </w:r>
      <w:r>
        <w:rPr>
          <w:rFonts w:hint="eastAsia" w:hAnsi="仿宋"/>
          <w:sz w:val="32"/>
          <w:szCs w:val="32"/>
        </w:rPr>
        <w:t>指事业单位在专业业务活动及其辅助活动之外开展非独立核算经营活动发生的支出。</w:t>
      </w:r>
      <w:r>
        <w:rPr>
          <w:rFonts w:hAnsi="仿宋"/>
          <w:sz w:val="32"/>
          <w:szCs w:val="32"/>
        </w:rPr>
        <w:t xml:space="preserve"> </w:t>
      </w:r>
    </w:p>
    <w:p>
      <w:pPr>
        <w:pStyle w:val="19"/>
        <w:spacing w:line="600" w:lineRule="exact"/>
        <w:ind w:firstLine="640"/>
        <w:rPr>
          <w:rFonts w:hAnsi="仿宋"/>
          <w:sz w:val="32"/>
          <w:szCs w:val="32"/>
        </w:rPr>
      </w:pPr>
      <w:r>
        <w:rPr>
          <w:rFonts w:hint="eastAsia" w:hAnsi="仿宋"/>
          <w:b/>
          <w:sz w:val="32"/>
          <w:szCs w:val="32"/>
        </w:rPr>
        <w:t>九、上缴上级支出：</w:t>
      </w:r>
      <w:r>
        <w:rPr>
          <w:rFonts w:hint="eastAsia" w:hAnsi="仿宋"/>
          <w:sz w:val="32"/>
          <w:szCs w:val="32"/>
        </w:rPr>
        <w:t>指下级单位上缴上级的支出。</w:t>
      </w:r>
    </w:p>
    <w:p>
      <w:pPr>
        <w:pStyle w:val="19"/>
        <w:spacing w:line="600" w:lineRule="exact"/>
        <w:ind w:firstLine="640"/>
        <w:rPr>
          <w:rFonts w:hAnsi="仿宋"/>
          <w:sz w:val="32"/>
          <w:szCs w:val="32"/>
        </w:rPr>
      </w:pPr>
      <w:r>
        <w:rPr>
          <w:rFonts w:hint="eastAsia" w:hAnsi="仿宋"/>
          <w:b/>
          <w:sz w:val="32"/>
          <w:szCs w:val="32"/>
        </w:rPr>
        <w:t>十、对附属单位补助支出：</w:t>
      </w:r>
      <w:r>
        <w:rPr>
          <w:rFonts w:hint="eastAsia" w:hAnsi="仿宋"/>
          <w:sz w:val="32"/>
          <w:szCs w:val="32"/>
        </w:rPr>
        <w:t>指对下级单位补助发生的支出。</w:t>
      </w:r>
    </w:p>
    <w:p>
      <w:pPr>
        <w:pStyle w:val="19"/>
        <w:spacing w:line="600" w:lineRule="exact"/>
        <w:ind w:firstLine="640"/>
        <w:rPr>
          <w:rFonts w:hAnsi="仿宋"/>
          <w:sz w:val="32"/>
          <w:szCs w:val="32"/>
        </w:rPr>
      </w:pPr>
      <w:r>
        <w:rPr>
          <w:rFonts w:hint="eastAsia" w:hAnsi="仿宋"/>
          <w:b/>
          <w:sz w:val="32"/>
          <w:szCs w:val="32"/>
        </w:rPr>
        <w:t>十一、</w:t>
      </w:r>
      <w:r>
        <w:rPr>
          <w:rFonts w:hAnsi="仿宋"/>
          <w:b/>
          <w:sz w:val="32"/>
          <w:szCs w:val="32"/>
        </w:rPr>
        <w:t>“</w:t>
      </w:r>
      <w:r>
        <w:rPr>
          <w:rFonts w:hint="eastAsia" w:hAnsi="仿宋"/>
          <w:b/>
          <w:sz w:val="32"/>
          <w:szCs w:val="32"/>
        </w:rPr>
        <w:t>三公</w:t>
      </w:r>
      <w:r>
        <w:rPr>
          <w:rFonts w:hAnsi="仿宋"/>
          <w:b/>
          <w:sz w:val="32"/>
          <w:szCs w:val="32"/>
        </w:rPr>
        <w:t>”</w:t>
      </w:r>
      <w:r>
        <w:rPr>
          <w:rFonts w:hint="eastAsia" w:hAnsi="仿宋"/>
          <w:b/>
          <w:sz w:val="32"/>
          <w:szCs w:val="32"/>
        </w:rPr>
        <w:t>经费：</w:t>
      </w:r>
      <w:r>
        <w:rPr>
          <w:rFonts w:hint="eastAsia" w:hAnsi="仿宋"/>
          <w:sz w:val="32"/>
          <w:szCs w:val="32"/>
        </w:rPr>
        <w:t>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及燃料费、维修费、过桥过路费、保险费、安全奖励费用等支出；公务接待费反映单位按规定开支的各类公务接待（含外宾接待）支出。</w:t>
      </w:r>
      <w:r>
        <w:rPr>
          <w:rFonts w:hAnsi="仿宋"/>
          <w:sz w:val="32"/>
          <w:szCs w:val="32"/>
        </w:rPr>
        <w:t xml:space="preserve"> </w:t>
      </w:r>
    </w:p>
    <w:p>
      <w:pPr>
        <w:ind w:firstLine="643" w:firstLineChars="200"/>
        <w:jc w:val="left"/>
        <w:rPr>
          <w:rFonts w:asciiTheme="majorEastAsia" w:hAnsiTheme="majorEastAsia" w:eastAsiaTheme="majorEastAsia"/>
          <w:b/>
          <w:sz w:val="40"/>
        </w:rPr>
      </w:pPr>
      <w:r>
        <w:rPr>
          <w:rFonts w:hint="eastAsia" w:ascii="仿宋" w:hAnsi="仿宋" w:eastAsia="仿宋"/>
          <w:b/>
          <w:sz w:val="32"/>
          <w:szCs w:val="32"/>
        </w:rPr>
        <w:t>十二、机关运行经费：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817497"/>
    </w:sdtPr>
    <w:sdtEndPr>
      <w:rPr>
        <w:rFonts w:asciiTheme="minorEastAsia" w:hAnsiTheme="minorEastAsia"/>
        <w:sz w:val="20"/>
      </w:rPr>
    </w:sdtEndPr>
    <w:sdtContent>
      <w:p>
        <w:pPr>
          <w:pStyle w:val="8"/>
          <w:jc w:val="center"/>
        </w:pPr>
        <w:r>
          <w:rPr>
            <w:rFonts w:asciiTheme="minorEastAsia" w:hAnsiTheme="minorEastAsia"/>
            <w:sz w:val="20"/>
          </w:rPr>
          <w:fldChar w:fldCharType="begin"/>
        </w:r>
        <w:r>
          <w:rPr>
            <w:rFonts w:asciiTheme="minorEastAsia" w:hAnsiTheme="minorEastAsia"/>
            <w:sz w:val="20"/>
          </w:rPr>
          <w:instrText xml:space="preserve">PAGE   \* MERGEFORMAT</w:instrText>
        </w:r>
        <w:r>
          <w:rPr>
            <w:rFonts w:asciiTheme="minorEastAsia" w:hAnsiTheme="minorEastAsia"/>
            <w:sz w:val="20"/>
          </w:rPr>
          <w:fldChar w:fldCharType="separate"/>
        </w:r>
        <w:r>
          <w:rPr>
            <w:rFonts w:asciiTheme="minorEastAsia" w:hAnsiTheme="minorEastAsia"/>
            <w:sz w:val="20"/>
            <w:lang w:val="zh-CN"/>
          </w:rPr>
          <w:t>1</w:t>
        </w:r>
        <w:r>
          <w:rPr>
            <w:rFonts w:asciiTheme="minorEastAsia" w:hAnsiTheme="minorEastAsia"/>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6BFA2D"/>
    <w:multiLevelType w:val="singleLevel"/>
    <w:tmpl w:val="176BFA2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xZTg1YjVmOGM0YmRkODgwZGI2MTc2N2ZmMDQxZjgifQ=="/>
  </w:docVars>
  <w:rsids>
    <w:rsidRoot w:val="00317140"/>
    <w:rsid w:val="000137C6"/>
    <w:rsid w:val="00015F8A"/>
    <w:rsid w:val="00021833"/>
    <w:rsid w:val="00033F71"/>
    <w:rsid w:val="0003780F"/>
    <w:rsid w:val="000470A9"/>
    <w:rsid w:val="00080CC1"/>
    <w:rsid w:val="0008592D"/>
    <w:rsid w:val="00085F2B"/>
    <w:rsid w:val="00096056"/>
    <w:rsid w:val="000B35CC"/>
    <w:rsid w:val="00105219"/>
    <w:rsid w:val="001315FC"/>
    <w:rsid w:val="00134215"/>
    <w:rsid w:val="0014464B"/>
    <w:rsid w:val="00145976"/>
    <w:rsid w:val="001569B3"/>
    <w:rsid w:val="00162161"/>
    <w:rsid w:val="00167378"/>
    <w:rsid w:val="00172CC0"/>
    <w:rsid w:val="001767B3"/>
    <w:rsid w:val="001A47A7"/>
    <w:rsid w:val="001A5903"/>
    <w:rsid w:val="001B45ED"/>
    <w:rsid w:val="001D4196"/>
    <w:rsid w:val="001E2339"/>
    <w:rsid w:val="001F391B"/>
    <w:rsid w:val="002020AE"/>
    <w:rsid w:val="00221F98"/>
    <w:rsid w:val="002243EF"/>
    <w:rsid w:val="002311C9"/>
    <w:rsid w:val="00240977"/>
    <w:rsid w:val="00244E2B"/>
    <w:rsid w:val="00245FED"/>
    <w:rsid w:val="00264B96"/>
    <w:rsid w:val="00290C77"/>
    <w:rsid w:val="002B1982"/>
    <w:rsid w:val="002B699A"/>
    <w:rsid w:val="002D3F89"/>
    <w:rsid w:val="002E123F"/>
    <w:rsid w:val="002F0ECE"/>
    <w:rsid w:val="002F1995"/>
    <w:rsid w:val="002F1B6F"/>
    <w:rsid w:val="00305616"/>
    <w:rsid w:val="00311E91"/>
    <w:rsid w:val="00312014"/>
    <w:rsid w:val="00317140"/>
    <w:rsid w:val="003322AE"/>
    <w:rsid w:val="00334F93"/>
    <w:rsid w:val="00353125"/>
    <w:rsid w:val="00360D9A"/>
    <w:rsid w:val="00381D4F"/>
    <w:rsid w:val="003B2C9B"/>
    <w:rsid w:val="003B798E"/>
    <w:rsid w:val="003C2183"/>
    <w:rsid w:val="003F5F2A"/>
    <w:rsid w:val="00405EA3"/>
    <w:rsid w:val="00414790"/>
    <w:rsid w:val="0042125F"/>
    <w:rsid w:val="00421FB1"/>
    <w:rsid w:val="00434CBE"/>
    <w:rsid w:val="00442172"/>
    <w:rsid w:val="00445C9B"/>
    <w:rsid w:val="0044633A"/>
    <w:rsid w:val="004D696A"/>
    <w:rsid w:val="004F0B75"/>
    <w:rsid w:val="00504A24"/>
    <w:rsid w:val="005354CD"/>
    <w:rsid w:val="00535E87"/>
    <w:rsid w:val="00577AEF"/>
    <w:rsid w:val="00584849"/>
    <w:rsid w:val="005A69E4"/>
    <w:rsid w:val="005B00AC"/>
    <w:rsid w:val="005B1EBF"/>
    <w:rsid w:val="005D7140"/>
    <w:rsid w:val="00606548"/>
    <w:rsid w:val="00606A72"/>
    <w:rsid w:val="006354A5"/>
    <w:rsid w:val="00645111"/>
    <w:rsid w:val="006A5A31"/>
    <w:rsid w:val="006B70C6"/>
    <w:rsid w:val="006C4713"/>
    <w:rsid w:val="006F1EE5"/>
    <w:rsid w:val="007015F0"/>
    <w:rsid w:val="007030FB"/>
    <w:rsid w:val="00723EF2"/>
    <w:rsid w:val="00743C81"/>
    <w:rsid w:val="00753E47"/>
    <w:rsid w:val="00760DCF"/>
    <w:rsid w:val="00763A54"/>
    <w:rsid w:val="00773637"/>
    <w:rsid w:val="00775567"/>
    <w:rsid w:val="007A30B9"/>
    <w:rsid w:val="007B32F9"/>
    <w:rsid w:val="007C60CF"/>
    <w:rsid w:val="00800C7B"/>
    <w:rsid w:val="00804D1C"/>
    <w:rsid w:val="008071E4"/>
    <w:rsid w:val="008519DD"/>
    <w:rsid w:val="00855527"/>
    <w:rsid w:val="0086239A"/>
    <w:rsid w:val="008763D2"/>
    <w:rsid w:val="00880C2D"/>
    <w:rsid w:val="008906D2"/>
    <w:rsid w:val="008A73C5"/>
    <w:rsid w:val="008A7421"/>
    <w:rsid w:val="008D5DFA"/>
    <w:rsid w:val="008D6F87"/>
    <w:rsid w:val="008E3CBD"/>
    <w:rsid w:val="00937A03"/>
    <w:rsid w:val="0094672F"/>
    <w:rsid w:val="009739A9"/>
    <w:rsid w:val="009756CF"/>
    <w:rsid w:val="009C7FB5"/>
    <w:rsid w:val="009D76A4"/>
    <w:rsid w:val="00A0449D"/>
    <w:rsid w:val="00A10948"/>
    <w:rsid w:val="00A23912"/>
    <w:rsid w:val="00A36EAA"/>
    <w:rsid w:val="00A403DC"/>
    <w:rsid w:val="00A4118D"/>
    <w:rsid w:val="00A6048C"/>
    <w:rsid w:val="00A818C9"/>
    <w:rsid w:val="00A855BE"/>
    <w:rsid w:val="00AA455B"/>
    <w:rsid w:val="00AB1283"/>
    <w:rsid w:val="00AB1C5D"/>
    <w:rsid w:val="00AB691F"/>
    <w:rsid w:val="00AD7433"/>
    <w:rsid w:val="00B07727"/>
    <w:rsid w:val="00B43BCC"/>
    <w:rsid w:val="00B67551"/>
    <w:rsid w:val="00B80A6F"/>
    <w:rsid w:val="00B83C27"/>
    <w:rsid w:val="00BF7317"/>
    <w:rsid w:val="00C02DE3"/>
    <w:rsid w:val="00C16FD3"/>
    <w:rsid w:val="00C33A0A"/>
    <w:rsid w:val="00C43C36"/>
    <w:rsid w:val="00C7095D"/>
    <w:rsid w:val="00C82173"/>
    <w:rsid w:val="00C9493F"/>
    <w:rsid w:val="00CA39A1"/>
    <w:rsid w:val="00CC6B40"/>
    <w:rsid w:val="00D15C3B"/>
    <w:rsid w:val="00D208E9"/>
    <w:rsid w:val="00D4799A"/>
    <w:rsid w:val="00D95257"/>
    <w:rsid w:val="00DD0E76"/>
    <w:rsid w:val="00DD596A"/>
    <w:rsid w:val="00DF317E"/>
    <w:rsid w:val="00E005FB"/>
    <w:rsid w:val="00E05319"/>
    <w:rsid w:val="00E236B8"/>
    <w:rsid w:val="00E332A8"/>
    <w:rsid w:val="00E67E4C"/>
    <w:rsid w:val="00E71AA9"/>
    <w:rsid w:val="00E90672"/>
    <w:rsid w:val="00E93BA5"/>
    <w:rsid w:val="00E9659E"/>
    <w:rsid w:val="00EA0606"/>
    <w:rsid w:val="00EA2CC5"/>
    <w:rsid w:val="00ED1D1C"/>
    <w:rsid w:val="00EF3EDC"/>
    <w:rsid w:val="00F233C0"/>
    <w:rsid w:val="00F32365"/>
    <w:rsid w:val="00F3255D"/>
    <w:rsid w:val="00F32D3C"/>
    <w:rsid w:val="00F62AD2"/>
    <w:rsid w:val="00F937DA"/>
    <w:rsid w:val="00FB3D59"/>
    <w:rsid w:val="00FC4095"/>
    <w:rsid w:val="00FE616A"/>
    <w:rsid w:val="00FE6949"/>
    <w:rsid w:val="00FF7B38"/>
    <w:rsid w:val="00FF7EA0"/>
    <w:rsid w:val="01A579F8"/>
    <w:rsid w:val="03882DB2"/>
    <w:rsid w:val="07893F2F"/>
    <w:rsid w:val="091F0FEF"/>
    <w:rsid w:val="0CE128DB"/>
    <w:rsid w:val="0EB65F51"/>
    <w:rsid w:val="0F1E0104"/>
    <w:rsid w:val="14FD6DD1"/>
    <w:rsid w:val="17C36B42"/>
    <w:rsid w:val="17C97970"/>
    <w:rsid w:val="1992326F"/>
    <w:rsid w:val="2B202245"/>
    <w:rsid w:val="32130BBA"/>
    <w:rsid w:val="3AD864B6"/>
    <w:rsid w:val="490B41C9"/>
    <w:rsid w:val="4D424BF3"/>
    <w:rsid w:val="5B5437AD"/>
    <w:rsid w:val="5B8F6C74"/>
    <w:rsid w:val="5BCD1176"/>
    <w:rsid w:val="5D4E5DFA"/>
    <w:rsid w:val="5E850B4E"/>
    <w:rsid w:val="62B666AA"/>
    <w:rsid w:val="6D416DB7"/>
    <w:rsid w:val="6E0B6925"/>
    <w:rsid w:val="70467CB7"/>
    <w:rsid w:val="72487C66"/>
    <w:rsid w:val="7510699F"/>
    <w:rsid w:val="75AA2BF6"/>
    <w:rsid w:val="76787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autoRedefine/>
    <w:qFormat/>
    <w:uiPriority w:val="0"/>
    <w:pPr>
      <w:spacing w:line="480" w:lineRule="auto"/>
      <w:ind w:left="420" w:leftChars="200"/>
    </w:pPr>
    <w:rPr>
      <w:rFonts w:ascii="Times New Roman" w:hAnsi="Times New Roman" w:eastAsia="宋体" w:cs="Times New Roman"/>
    </w:rPr>
  </w:style>
  <w:style w:type="paragraph" w:styleId="3">
    <w:name w:val="Normal Indent"/>
    <w:basedOn w:val="1"/>
    <w:autoRedefine/>
    <w:qFormat/>
    <w:uiPriority w:val="99"/>
    <w:pPr>
      <w:spacing w:before="0" w:beforeAutospacing="0" w:after="0" w:afterAutospacing="0" w:line="240" w:lineRule="atLeast"/>
      <w:ind w:left="0" w:right="0" w:firstLine="420"/>
      <w:jc w:val="left"/>
    </w:pPr>
    <w:rPr>
      <w:rFonts w:hint="default" w:ascii="Verdana" w:hAnsi="Verdana" w:eastAsia="仿宋_GB2312" w:cs="Times New Roman"/>
      <w:spacing w:val="-6"/>
      <w:kern w:val="0"/>
      <w:sz w:val="32"/>
      <w:szCs w:val="32"/>
      <w:lang w:val="en-US" w:eastAsia="zh-CN" w:bidi="ar"/>
    </w:rPr>
  </w:style>
  <w:style w:type="paragraph" w:styleId="4">
    <w:name w:val="annotation text"/>
    <w:basedOn w:val="1"/>
    <w:autoRedefine/>
    <w:semiHidden/>
    <w:unhideWhenUsed/>
    <w:qFormat/>
    <w:uiPriority w:val="99"/>
    <w:pPr>
      <w:jc w:val="left"/>
    </w:pPr>
  </w:style>
  <w:style w:type="paragraph" w:styleId="5">
    <w:name w:val="Body Text"/>
    <w:basedOn w:val="1"/>
    <w:link w:val="17"/>
    <w:autoRedefine/>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6">
    <w:name w:val="toc 3"/>
    <w:basedOn w:val="1"/>
    <w:next w:val="1"/>
    <w:autoRedefine/>
    <w:semiHidden/>
    <w:unhideWhenUsed/>
    <w:qFormat/>
    <w:uiPriority w:val="39"/>
    <w:pPr>
      <w:ind w:left="840" w:leftChars="400"/>
    </w:pPr>
  </w:style>
  <w:style w:type="paragraph" w:styleId="7">
    <w:name w:val="Balloon Text"/>
    <w:basedOn w:val="1"/>
    <w:link w:val="18"/>
    <w:autoRedefine/>
    <w:unhideWhenUsed/>
    <w:qFormat/>
    <w:uiPriority w:val="99"/>
    <w:pPr>
      <w:spacing w:line="240" w:lineRule="auto"/>
    </w:pPr>
    <w:rPr>
      <w:sz w:val="18"/>
      <w:szCs w:val="18"/>
    </w:rPr>
  </w:style>
  <w:style w:type="paragraph" w:styleId="8">
    <w:name w:val="footer"/>
    <w:basedOn w:val="1"/>
    <w:link w:val="16"/>
    <w:autoRedefine/>
    <w:unhideWhenUsed/>
    <w:qFormat/>
    <w:uiPriority w:val="99"/>
    <w:pPr>
      <w:tabs>
        <w:tab w:val="center" w:pos="4153"/>
        <w:tab w:val="right" w:pos="8306"/>
      </w:tabs>
      <w:snapToGrid w:val="0"/>
      <w:spacing w:line="240" w:lineRule="auto"/>
      <w:jc w:val="left"/>
    </w:pPr>
    <w:rPr>
      <w:sz w:val="18"/>
      <w:szCs w:val="18"/>
    </w:rPr>
  </w:style>
  <w:style w:type="paragraph" w:styleId="9">
    <w:name w:val="header"/>
    <w:basedOn w:val="1"/>
    <w:link w:val="15"/>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toc 1"/>
    <w:basedOn w:val="1"/>
    <w:next w:val="1"/>
    <w:semiHidden/>
    <w:unhideWhenUsed/>
    <w:uiPriority w:val="39"/>
  </w:style>
  <w:style w:type="paragraph" w:styleId="11">
    <w:name w:val="toc 2"/>
    <w:basedOn w:val="1"/>
    <w:next w:val="1"/>
    <w:autoRedefine/>
    <w:semiHidden/>
    <w:unhideWhenUsed/>
    <w:qFormat/>
    <w:uiPriority w:val="39"/>
    <w:pPr>
      <w:ind w:left="420" w:leftChars="200"/>
    </w:pPr>
  </w:style>
  <w:style w:type="paragraph" w:styleId="12">
    <w:name w:val="Body Text First Indent 2"/>
    <w:basedOn w:val="1"/>
    <w:autoRedefine/>
    <w:qFormat/>
    <w:uiPriority w:val="0"/>
    <w:pPr>
      <w:ind w:firstLine="420" w:firstLineChars="200"/>
    </w:pPr>
    <w:rPr>
      <w:rFonts w:ascii="Calibri" w:hAnsi="Calibri" w:eastAsia="宋体" w:cs="Times New Roman"/>
    </w:rPr>
  </w:style>
  <w:style w:type="character" w:customStyle="1" w:styleId="15">
    <w:name w:val="页眉 Char"/>
    <w:basedOn w:val="14"/>
    <w:link w:val="9"/>
    <w:autoRedefine/>
    <w:qFormat/>
    <w:uiPriority w:val="99"/>
    <w:rPr>
      <w:sz w:val="18"/>
      <w:szCs w:val="18"/>
    </w:rPr>
  </w:style>
  <w:style w:type="character" w:customStyle="1" w:styleId="16">
    <w:name w:val="页脚 Char"/>
    <w:basedOn w:val="14"/>
    <w:link w:val="8"/>
    <w:autoRedefine/>
    <w:qFormat/>
    <w:uiPriority w:val="99"/>
    <w:rPr>
      <w:sz w:val="18"/>
      <w:szCs w:val="18"/>
    </w:rPr>
  </w:style>
  <w:style w:type="character" w:customStyle="1" w:styleId="17">
    <w:name w:val="正文文本 Char"/>
    <w:basedOn w:val="14"/>
    <w:link w:val="5"/>
    <w:autoRedefine/>
    <w:qFormat/>
    <w:uiPriority w:val="1"/>
    <w:rPr>
      <w:rFonts w:ascii="Times New Roman" w:hAnsi="Times New Roman" w:eastAsia="Times New Roman" w:cs="Times New Roman"/>
      <w:kern w:val="0"/>
      <w:sz w:val="20"/>
      <w:szCs w:val="20"/>
      <w:lang w:eastAsia="en-US"/>
    </w:rPr>
  </w:style>
  <w:style w:type="character" w:customStyle="1" w:styleId="18">
    <w:name w:val="批注框文本 Char"/>
    <w:basedOn w:val="14"/>
    <w:link w:val="7"/>
    <w:autoRedefine/>
    <w:semiHidden/>
    <w:qFormat/>
    <w:uiPriority w:val="99"/>
    <w:rPr>
      <w:sz w:val="18"/>
      <w:szCs w:val="18"/>
    </w:rPr>
  </w:style>
  <w:style w:type="paragraph" w:customStyle="1" w:styleId="19">
    <w:name w:val="Default"/>
    <w:autoRedefine/>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0">
    <w:name w:val="列出段落1"/>
    <w:basedOn w:val="1"/>
    <w:autoRedefine/>
    <w:qFormat/>
    <w:uiPriority w:val="34"/>
    <w:pPr>
      <w:ind w:firstLine="420" w:firstLineChars="200"/>
    </w:pPr>
  </w:style>
  <w:style w:type="paragraph" w:styleId="21">
    <w:name w:val="List Paragraph"/>
    <w:basedOn w:val="1"/>
    <w:autoRedefine/>
    <w:unhideWhenUsed/>
    <w:qFormat/>
    <w:uiPriority w:val="99"/>
    <w:pPr>
      <w:ind w:firstLine="420" w:firstLineChars="200"/>
    </w:pPr>
  </w:style>
  <w:style w:type="paragraph" w:customStyle="1" w:styleId="22">
    <w:name w:val="WPSOffice手动目录 1"/>
    <w:autoRedefine/>
    <w:qFormat/>
    <w:uiPriority w:val="0"/>
    <w:pPr>
      <w:ind w:leftChars="0"/>
    </w:pPr>
    <w:rPr>
      <w:rFonts w:ascii="Times New Roman" w:hAnsi="Times New Roman" w:eastAsia="宋体" w:cs="Times New Roman"/>
      <w:sz w:val="20"/>
      <w:szCs w:val="20"/>
    </w:rPr>
  </w:style>
  <w:style w:type="paragraph" w:customStyle="1" w:styleId="23">
    <w:name w:val="WPSOffice手动目录 2"/>
    <w:autoRedefine/>
    <w:qFormat/>
    <w:uiPriority w:val="0"/>
    <w:pPr>
      <w:ind w:leftChars="200"/>
    </w:pPr>
    <w:rPr>
      <w:rFonts w:ascii="Times New Roman" w:hAnsi="Times New Roman" w:eastAsia="宋体" w:cs="Times New Roman"/>
      <w:sz w:val="20"/>
      <w:szCs w:val="20"/>
    </w:rPr>
  </w:style>
  <w:style w:type="paragraph" w:customStyle="1" w:styleId="24">
    <w:name w:val="WPSOffice手动目录 3"/>
    <w:autoRedefine/>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34260-7EAB-4893-BDEC-DB93E23C86F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8941</Words>
  <Characters>10148</Characters>
  <Lines>95</Lines>
  <Paragraphs>26</Paragraphs>
  <TotalTime>0</TotalTime>
  <ScaleCrop>false</ScaleCrop>
  <LinksUpToDate>false</LinksUpToDate>
  <CharactersWithSpaces>14978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2019-03-10T08:45:00Z</dcterms:created>
  <dc:creator>null</dc:creator>
  <cp:lastModifiedBy>颍</cp:lastModifiedBy>
  <cp:lastPrinted>2023-01-03T09:16:00Z</cp:lastPrinted>
  <dcterms:modified xsi:type="dcterms:W3CDTF">2024-02-01T01:56:22Z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7C3E23F397CC4DCEA36599049240824E</vt:lpwstr>
  </property>
</Properties>
</file>