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sz w:val="32"/>
          <w:szCs w:val="32"/>
        </w:rPr>
      </w:pPr>
    </w:p>
    <w:p>
      <w:pPr>
        <w:widowControl/>
        <w:jc w:val="center"/>
        <w:rPr>
          <w:sz w:val="84"/>
          <w:szCs w:val="84"/>
        </w:rPr>
      </w:pPr>
    </w:p>
    <w:p>
      <w:pPr>
        <w:widowControl/>
        <w:jc w:val="center"/>
        <w:rPr>
          <w:sz w:val="84"/>
          <w:szCs w:val="84"/>
        </w:rPr>
      </w:pPr>
      <w:r>
        <w:rPr>
          <w:rFonts w:hint="eastAsia" w:ascii="方正小标宋简体" w:eastAsia="方正小标宋简体"/>
          <w:sz w:val="84"/>
          <w:szCs w:val="84"/>
          <w:lang w:val="en-US" w:eastAsia="zh-CN"/>
        </w:rPr>
        <w:t>2021</w:t>
      </w:r>
      <w:r>
        <w:rPr>
          <w:rFonts w:hint="eastAsia" w:ascii="方正小标宋简体" w:eastAsia="方正小标宋简体"/>
          <w:sz w:val="84"/>
          <w:szCs w:val="84"/>
        </w:rPr>
        <w:t>年度</w:t>
      </w:r>
    </w:p>
    <w:p>
      <w:pPr>
        <w:widowControl/>
        <w:jc w:val="center"/>
        <w:rPr>
          <w:rFonts w:ascii="方正小标宋简体" w:eastAsia="方正小标宋简体" w:cs="Times New Roman"/>
          <w:sz w:val="84"/>
          <w:szCs w:val="84"/>
          <w:highlight w:val="none"/>
        </w:rPr>
      </w:pPr>
      <w:r>
        <w:rPr>
          <w:rFonts w:hint="eastAsia" w:ascii="方正小标宋简体" w:eastAsia="方正小标宋简体" w:cs="方正小标宋简体"/>
          <w:sz w:val="84"/>
          <w:szCs w:val="84"/>
          <w:highlight w:val="none"/>
          <w:lang w:eastAsia="zh-CN"/>
        </w:rPr>
        <w:t>福州市鼓楼区</w:t>
      </w:r>
      <w:r>
        <w:rPr>
          <w:rFonts w:hint="eastAsia" w:ascii="方正小标宋简体" w:eastAsia="方正小标宋简体" w:cs="方正小标宋简体"/>
          <w:sz w:val="84"/>
          <w:szCs w:val="84"/>
          <w:highlight w:val="none"/>
          <w:lang w:val="en-US" w:eastAsia="zh-CN"/>
        </w:rPr>
        <w:t xml:space="preserve">      </w:t>
      </w:r>
      <w:r>
        <w:rPr>
          <w:rFonts w:hint="eastAsia" w:ascii="方正小标宋简体" w:eastAsia="方正小标宋简体" w:cs="方正小标宋简体"/>
          <w:sz w:val="84"/>
          <w:szCs w:val="84"/>
          <w:highlight w:val="none"/>
          <w:lang w:eastAsia="zh-CN"/>
        </w:rPr>
        <w:t>人大代表服务中心</w:t>
      </w:r>
      <w:r>
        <w:rPr>
          <w:rFonts w:hint="eastAsia" w:ascii="方正小标宋简体" w:eastAsia="方正小标宋简体" w:cs="方正小标宋简体"/>
          <w:sz w:val="84"/>
          <w:szCs w:val="84"/>
          <w:highlight w:val="none"/>
          <w:lang w:val="en-US" w:eastAsia="zh-CN"/>
        </w:rPr>
        <w:t xml:space="preserve">        </w:t>
      </w:r>
      <w:r>
        <w:rPr>
          <w:rFonts w:hint="eastAsia" w:ascii="方正小标宋简体" w:eastAsia="方正小标宋简体" w:cs="方正小标宋简体"/>
          <w:sz w:val="84"/>
          <w:szCs w:val="84"/>
          <w:highlight w:val="none"/>
        </w:rPr>
        <w:t>部门</w:t>
      </w:r>
      <w:r>
        <w:rPr>
          <w:rFonts w:hint="eastAsia" w:ascii="方正小标宋简体" w:eastAsia="方正小标宋简体" w:cs="方正小标宋简体"/>
          <w:sz w:val="84"/>
          <w:szCs w:val="84"/>
          <w:highlight w:val="none"/>
          <w:lang w:eastAsia="zh-CN"/>
        </w:rPr>
        <w:t>预</w:t>
      </w:r>
      <w:r>
        <w:rPr>
          <w:rFonts w:hint="eastAsia" w:ascii="方正小标宋简体" w:eastAsia="方正小标宋简体" w:cs="方正小标宋简体"/>
          <w:sz w:val="84"/>
          <w:szCs w:val="84"/>
          <w:highlight w:val="none"/>
        </w:rPr>
        <w:t>算</w:t>
      </w:r>
    </w:p>
    <w:p>
      <w:pPr>
        <w:widowControl/>
        <w:rPr>
          <w:sz w:val="84"/>
          <w:szCs w:val="84"/>
        </w:rPr>
      </w:pPr>
      <w:r>
        <w:rPr>
          <w:sz w:val="84"/>
          <w:szCs w:val="84"/>
        </w:rPr>
        <w:br w:type="page"/>
      </w:r>
    </w:p>
    <w:p>
      <w:pPr>
        <w:pStyle w:val="2"/>
        <w:jc w:val="center"/>
        <w:rPr>
          <w:rFonts w:asciiTheme="majorEastAsia" w:hAnsiTheme="majorEastAsia" w:eastAsiaTheme="majorEastAsia"/>
          <w:b/>
          <w:sz w:val="36"/>
          <w:lang w:eastAsia="zh-CN"/>
        </w:rPr>
      </w:pPr>
      <w:r>
        <w:rPr>
          <w:rFonts w:hint="eastAsia" w:asciiTheme="majorEastAsia" w:hAnsiTheme="majorEastAsia" w:eastAsiaTheme="majorEastAsia"/>
          <w:b/>
          <w:sz w:val="36"/>
          <w:lang w:eastAsia="zh-CN"/>
        </w:rPr>
        <w:t>目  录</w:t>
      </w:r>
    </w:p>
    <w:p>
      <w:pPr>
        <w:pStyle w:val="2"/>
        <w:rPr>
          <w:rFonts w:asciiTheme="majorEastAsia" w:hAnsiTheme="majorEastAsia" w:eastAsiaTheme="majorEastAsia"/>
          <w:sz w:val="36"/>
          <w:lang w:eastAsia="zh-CN"/>
        </w:rPr>
      </w:pPr>
    </w:p>
    <w:p>
      <w:pPr>
        <w:pStyle w:val="2"/>
        <w:rPr>
          <w:rFonts w:asciiTheme="majorEastAsia" w:hAnsiTheme="majorEastAsia" w:eastAsiaTheme="majorEastAsia"/>
          <w:b/>
          <w:sz w:val="36"/>
          <w:lang w:eastAsia="zh-CN"/>
        </w:rPr>
      </w:pPr>
      <w:r>
        <w:rPr>
          <w:rFonts w:hint="eastAsia" w:asciiTheme="majorEastAsia" w:hAnsiTheme="majorEastAsia" w:eastAsiaTheme="majorEastAsia"/>
          <w:b/>
          <w:sz w:val="36"/>
          <w:lang w:eastAsia="zh-CN"/>
        </w:rPr>
        <w:t>第一部分 部门概况</w:t>
      </w:r>
      <w:r>
        <w:rPr>
          <w:rFonts w:asciiTheme="majorEastAsia" w:hAnsiTheme="majorEastAsia" w:eastAsiaTheme="majorEastAsia"/>
          <w:b/>
          <w:sz w:val="36"/>
          <w:lang w:eastAsia="zh-CN"/>
        </w:rPr>
        <w:t>…………………………………</w:t>
      </w:r>
      <w:r>
        <w:rPr>
          <w:rFonts w:hint="eastAsia" w:asciiTheme="majorEastAsia" w:hAnsiTheme="majorEastAsia" w:eastAsiaTheme="majorEastAsia"/>
          <w:b/>
          <w:sz w:val="36"/>
          <w:lang w:val="en-US" w:eastAsia="zh-CN"/>
        </w:rPr>
        <w:t>4</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一、部门主要职责</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4</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二、部门预算单位构成</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4</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三、部门主要工作任务</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4</w:t>
      </w:r>
    </w:p>
    <w:p>
      <w:pPr>
        <w:pStyle w:val="2"/>
        <w:rPr>
          <w:rFonts w:asciiTheme="majorEastAsia" w:hAnsiTheme="majorEastAsia" w:eastAsiaTheme="majorEastAsia"/>
          <w:b/>
          <w:sz w:val="36"/>
          <w:lang w:eastAsia="zh-CN"/>
        </w:rPr>
      </w:pPr>
      <w:r>
        <w:rPr>
          <w:rFonts w:hint="eastAsia" w:asciiTheme="majorEastAsia" w:hAnsiTheme="majorEastAsia" w:eastAsiaTheme="majorEastAsia"/>
          <w:b/>
          <w:sz w:val="36"/>
          <w:lang w:eastAsia="zh-CN"/>
        </w:rPr>
        <w:t xml:space="preserve">第二部分 </w:t>
      </w:r>
      <w:r>
        <w:rPr>
          <w:rFonts w:hint="eastAsia" w:asciiTheme="majorEastAsia" w:hAnsiTheme="majorEastAsia" w:eastAsiaTheme="majorEastAsia"/>
          <w:b/>
          <w:sz w:val="36"/>
          <w:lang w:val="en-US" w:eastAsia="zh-CN"/>
        </w:rPr>
        <w:t>2021</w:t>
      </w:r>
      <w:r>
        <w:rPr>
          <w:rFonts w:hint="eastAsia" w:asciiTheme="majorEastAsia" w:hAnsiTheme="majorEastAsia" w:eastAsiaTheme="majorEastAsia"/>
          <w:b/>
          <w:sz w:val="36"/>
          <w:lang w:eastAsia="zh-CN"/>
        </w:rPr>
        <w:t>年度部门预算表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5</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一、收支预算总表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5</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二、收入预算总表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5</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三、支出预算总表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6</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四、财政拨款收支预算总表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6</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五、一般公共预算拨款支出预算表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6</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六、政府性基金拨款支出预算表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7</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七、一般公共预算支出经济分类情况表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7</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八、一般公共预算基本支出经济分类情况表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8</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九、一般公共预算“三公”经费支出预算表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11</w:t>
      </w:r>
    </w:p>
    <w:p>
      <w:pPr>
        <w:widowControl/>
        <w:rPr>
          <w:rFonts w:asciiTheme="majorEastAsia" w:hAnsiTheme="majorEastAsia" w:eastAsiaTheme="majorEastAsia"/>
          <w:b/>
          <w:sz w:val="40"/>
        </w:rPr>
      </w:pPr>
      <w:r>
        <w:rPr>
          <w:rFonts w:hint="eastAsia" w:cs="Times New Roman" w:asciiTheme="majorEastAsia" w:hAnsiTheme="majorEastAsia" w:eastAsiaTheme="majorEastAsia"/>
          <w:b/>
          <w:kern w:val="0"/>
          <w:sz w:val="36"/>
          <w:szCs w:val="20"/>
          <w:lang w:val="en-US" w:eastAsia="zh-CN" w:bidi="ar-SA"/>
        </w:rPr>
        <w:t>第三部分 2021年度部门预算情况说明</w:t>
      </w:r>
      <w:r>
        <w:rPr>
          <w:rFonts w:asciiTheme="majorEastAsia" w:hAnsiTheme="majorEastAsia" w:eastAsiaTheme="majorEastAsia"/>
          <w:sz w:val="36"/>
        </w:rPr>
        <w:t>………</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11</w:t>
      </w:r>
    </w:p>
    <w:p>
      <w:pPr>
        <w:widowControl/>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一、预算收支总体情况</w:t>
      </w:r>
      <w:r>
        <w:rPr>
          <w:rFonts w:asciiTheme="majorEastAsia" w:hAnsiTheme="majorEastAsia" w:eastAsiaTheme="majorEastAsia"/>
          <w:sz w:val="36"/>
        </w:rPr>
        <w:t>………………………………</w:t>
      </w:r>
      <w:r>
        <w:rPr>
          <w:rFonts w:hint="eastAsia" w:asciiTheme="majorEastAsia" w:hAnsiTheme="majorEastAsia" w:eastAsiaTheme="majorEastAsia"/>
          <w:sz w:val="36"/>
          <w:lang w:val="en-US" w:eastAsia="zh-CN"/>
        </w:rPr>
        <w:t>12</w:t>
      </w:r>
    </w:p>
    <w:p>
      <w:pPr>
        <w:widowControl/>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二、一般公共预算拨款支出情况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12</w:t>
      </w:r>
    </w:p>
    <w:p>
      <w:pPr>
        <w:widowControl/>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三、政府性基金预算拨款支出情况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12</w:t>
      </w:r>
    </w:p>
    <w:p>
      <w:pPr>
        <w:widowControl/>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四、财政拨款预算基本支出情况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12</w:t>
      </w:r>
    </w:p>
    <w:p>
      <w:pPr>
        <w:widowControl/>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五、一般公共预算“三公”经费支出情况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13</w:t>
      </w:r>
    </w:p>
    <w:p>
      <w:pPr>
        <w:widowControl/>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六、预算绩效目标情况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14</w:t>
      </w:r>
    </w:p>
    <w:p>
      <w:pPr>
        <w:widowControl/>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七、其他重要事项说明</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14</w:t>
      </w:r>
    </w:p>
    <w:p>
      <w:pPr>
        <w:pStyle w:val="2"/>
        <w:spacing w:before="3"/>
        <w:rPr>
          <w:rFonts w:eastAsiaTheme="minorEastAsia"/>
          <w:sz w:val="26"/>
          <w:lang w:eastAsia="zh-CN"/>
        </w:rPr>
      </w:pPr>
      <w:r>
        <w:rPr>
          <w:rFonts w:hint="eastAsia" w:cs="Times New Roman" w:asciiTheme="majorEastAsia" w:hAnsiTheme="majorEastAsia" w:eastAsiaTheme="majorEastAsia"/>
          <w:b/>
          <w:kern w:val="0"/>
          <w:sz w:val="36"/>
          <w:szCs w:val="20"/>
          <w:lang w:val="en-US" w:eastAsia="zh-CN" w:bidi="ar-SA"/>
        </w:rPr>
        <w:t>第四部分 名词解释</w:t>
      </w:r>
      <w:r>
        <w:rPr>
          <w:rFonts w:asciiTheme="majorEastAsia" w:hAnsiTheme="majorEastAsia" w:eastAsiaTheme="majorEastAsia"/>
          <w:sz w:val="36"/>
          <w:lang w:eastAsia="zh-CN"/>
        </w:rPr>
        <w:t>……………………………</w:t>
      </w:r>
      <w:r>
        <w:rPr>
          <w:rFonts w:cs="Times New Roman" w:asciiTheme="majorEastAsia" w:hAnsiTheme="majorEastAsia" w:eastAsiaTheme="majorEastAsia"/>
          <w:kern w:val="0"/>
          <w:sz w:val="36"/>
          <w:szCs w:val="20"/>
        </w:rPr>
        <w:t>……</w:t>
      </w:r>
      <w:r>
        <w:rPr>
          <w:rFonts w:hint="eastAsia" w:asciiTheme="majorEastAsia" w:hAnsiTheme="majorEastAsia" w:eastAsiaTheme="majorEastAsia"/>
          <w:sz w:val="36"/>
          <w:lang w:val="en-US" w:eastAsia="zh-CN"/>
        </w:rPr>
        <w:t>14</w:t>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2"/>
        <w:jc w:val="center"/>
        <w:rPr>
          <w:rFonts w:ascii="黑体" w:hAnsi="黑体" w:eastAsia="黑体"/>
          <w:sz w:val="36"/>
          <w:szCs w:val="36"/>
          <w:lang w:eastAsia="zh-CN"/>
        </w:rPr>
      </w:pPr>
      <w:r>
        <w:rPr>
          <w:rFonts w:hint="eastAsia" w:ascii="黑体" w:hAnsi="黑体" w:eastAsia="黑体"/>
          <w:sz w:val="36"/>
          <w:szCs w:val="36"/>
          <w:lang w:eastAsia="zh-CN"/>
        </w:rPr>
        <w:t>第一部分 部门概况</w:t>
      </w:r>
    </w:p>
    <w:p>
      <w:pPr>
        <w:pStyle w:val="2"/>
        <w:rPr>
          <w:rFonts w:ascii="黑体" w:hAnsi="黑体" w:eastAsia="黑体"/>
          <w:sz w:val="36"/>
          <w:szCs w:val="36"/>
          <w:lang w:eastAsia="zh-CN"/>
        </w:rPr>
      </w:pPr>
    </w:p>
    <w:p>
      <w:pPr>
        <w:pStyle w:val="2"/>
        <w:rPr>
          <w:rFonts w:ascii="仿宋" w:hAnsi="仿宋" w:eastAsia="仿宋" w:cstheme="minorBidi"/>
          <w:b/>
          <w:kern w:val="2"/>
          <w:sz w:val="32"/>
          <w:szCs w:val="32"/>
          <w:lang w:eastAsia="zh-CN"/>
        </w:rPr>
      </w:pPr>
      <w:r>
        <w:rPr>
          <w:rFonts w:hint="eastAsia" w:ascii="仿宋" w:hAnsi="仿宋" w:eastAsia="仿宋" w:cstheme="minorBidi"/>
          <w:b/>
          <w:kern w:val="2"/>
          <w:sz w:val="32"/>
          <w:szCs w:val="32"/>
          <w:lang w:eastAsia="zh-CN"/>
        </w:rPr>
        <w:t>一、部门主要职责</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福州市鼓楼区人大代表服务中心</w:t>
      </w:r>
      <w:r>
        <w:rPr>
          <w:rFonts w:hint="eastAsia" w:ascii="仿宋" w:hAnsi="仿宋" w:eastAsia="仿宋"/>
          <w:sz w:val="32"/>
          <w:szCs w:val="32"/>
        </w:rPr>
        <w:t>的主要职责</w:t>
      </w:r>
      <w:r>
        <w:rPr>
          <w:rFonts w:hint="eastAsia" w:ascii="仿宋" w:hAnsi="仿宋" w:eastAsia="仿宋"/>
          <w:sz w:val="32"/>
          <w:szCs w:val="32"/>
          <w:lang w:eastAsia="zh-CN"/>
        </w:rPr>
        <w:t>：在福州市鼓楼区人大常委会办公室领导下，</w:t>
      </w:r>
      <w:r>
        <w:rPr>
          <w:rFonts w:hint="eastAsia" w:ascii="仿宋" w:hAnsi="仿宋" w:eastAsia="仿宋"/>
          <w:sz w:val="32"/>
          <w:szCs w:val="32"/>
          <w:lang w:val="zh-CN"/>
        </w:rPr>
        <w:t>在本行政区域内，1、宣传宪法、法律、法规，党和国家方针、政策，上级及本级人大决议、决定；2、组织人大代表开展联系和接待选民活动，听取选民意见；3、交流人大代表活动经验，报道人大代表履职情况；4、组织人大代表开展视察、调研活动，收集对“一府两院”工作的意见和建议。</w:t>
      </w:r>
    </w:p>
    <w:p>
      <w:pPr>
        <w:pStyle w:val="2"/>
        <w:rPr>
          <w:rFonts w:ascii="仿宋" w:hAnsi="仿宋" w:eastAsia="仿宋" w:cstheme="minorBidi"/>
          <w:b/>
          <w:kern w:val="2"/>
          <w:sz w:val="32"/>
          <w:szCs w:val="32"/>
          <w:lang w:eastAsia="zh-CN"/>
        </w:rPr>
      </w:pPr>
      <w:r>
        <w:rPr>
          <w:rFonts w:hint="eastAsia" w:ascii="仿宋" w:hAnsi="仿宋" w:eastAsia="仿宋" w:cstheme="minorBidi"/>
          <w:b/>
          <w:kern w:val="2"/>
          <w:sz w:val="32"/>
          <w:szCs w:val="32"/>
          <w:lang w:eastAsia="zh-CN"/>
        </w:rPr>
        <w:t>二、部门预算单位构成</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从预算单位构成看，</w:t>
      </w:r>
      <w:r>
        <w:rPr>
          <w:rFonts w:hint="eastAsia" w:ascii="仿宋" w:hAnsi="仿宋" w:eastAsia="仿宋"/>
          <w:sz w:val="32"/>
          <w:szCs w:val="32"/>
          <w:lang w:eastAsia="zh-CN"/>
        </w:rPr>
        <w:t>福州市鼓楼区人大代表服务中心</w:t>
      </w:r>
      <w:r>
        <w:rPr>
          <w:rFonts w:hint="eastAsia" w:ascii="仿宋" w:hAnsi="仿宋" w:eastAsia="仿宋"/>
          <w:sz w:val="32"/>
          <w:szCs w:val="32"/>
        </w:rPr>
        <w:t>部门包括</w:t>
      </w:r>
      <w:r>
        <w:rPr>
          <w:rFonts w:hint="eastAsia" w:ascii="仿宋" w:hAnsi="仿宋" w:eastAsia="仿宋"/>
          <w:sz w:val="32"/>
          <w:szCs w:val="32"/>
          <w:lang w:val="en-US" w:eastAsia="zh-CN"/>
        </w:rPr>
        <w:t>1</w:t>
      </w:r>
      <w:r>
        <w:rPr>
          <w:rFonts w:hint="eastAsia" w:ascii="仿宋" w:hAnsi="仿宋" w:eastAsia="仿宋"/>
          <w:sz w:val="32"/>
          <w:szCs w:val="32"/>
        </w:rPr>
        <w:t>个机关行政处（科）室及</w:t>
      </w:r>
      <w:r>
        <w:rPr>
          <w:rFonts w:hint="eastAsia" w:ascii="仿宋" w:hAnsi="仿宋" w:eastAsia="仿宋"/>
          <w:sz w:val="32"/>
          <w:szCs w:val="32"/>
          <w:lang w:val="en-US" w:eastAsia="zh-CN"/>
        </w:rPr>
        <w:t>0</w:t>
      </w:r>
      <w:r>
        <w:rPr>
          <w:rFonts w:hint="eastAsia" w:ascii="仿宋" w:hAnsi="仿宋" w:eastAsia="仿宋"/>
          <w:sz w:val="32"/>
          <w:szCs w:val="32"/>
        </w:rPr>
        <w:t>个下属单位，其中：列入</w:t>
      </w:r>
      <w:r>
        <w:rPr>
          <w:rFonts w:hint="eastAsia" w:ascii="仿宋" w:hAnsi="仿宋" w:eastAsia="仿宋" w:cs="仿宋_GB2312"/>
          <w:sz w:val="32"/>
          <w:szCs w:val="32"/>
          <w:lang w:val="en-US" w:eastAsia="zh-CN"/>
        </w:rPr>
        <w:t>2021</w:t>
      </w:r>
      <w:r>
        <w:rPr>
          <w:rFonts w:hint="eastAsia" w:ascii="仿宋" w:hAnsi="仿宋" w:eastAsia="仿宋"/>
          <w:sz w:val="32"/>
          <w:szCs w:val="32"/>
        </w:rPr>
        <w:t>年部门预算编制范围的单位详细情况见下表:</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131"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人员编制数</w:t>
            </w:r>
          </w:p>
        </w:tc>
        <w:tc>
          <w:tcPr>
            <w:tcW w:w="2131"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2130" w:type="dxa"/>
            <w:shd w:val="clear" w:color="auto" w:fill="auto"/>
          </w:tcPr>
          <w:p>
            <w:pPr>
              <w:tabs>
                <w:tab w:val="left" w:pos="7513"/>
              </w:tabs>
              <w:adjustRightInd w:val="0"/>
              <w:snapToGrid w:val="0"/>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福州市鼓楼区人大代表服务中心</w:t>
            </w:r>
          </w:p>
        </w:tc>
        <w:tc>
          <w:tcPr>
            <w:tcW w:w="2130" w:type="dxa"/>
            <w:shd w:val="clear" w:color="auto" w:fill="auto"/>
          </w:tcPr>
          <w:p>
            <w:pPr>
              <w:tabs>
                <w:tab w:val="left" w:pos="7513"/>
              </w:tabs>
              <w:adjustRightInd w:val="0"/>
              <w:snapToGrid w:val="0"/>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财政拨款</w:t>
            </w:r>
          </w:p>
        </w:tc>
        <w:tc>
          <w:tcPr>
            <w:tcW w:w="2131" w:type="dxa"/>
            <w:shd w:val="clear" w:color="auto" w:fill="auto"/>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val="en-US" w:eastAsia="zh-CN"/>
              </w:rPr>
              <w:t>4</w:t>
            </w:r>
          </w:p>
        </w:tc>
        <w:tc>
          <w:tcPr>
            <w:tcW w:w="2131" w:type="dxa"/>
            <w:shd w:val="clear" w:color="auto" w:fill="auto"/>
          </w:tcPr>
          <w:p>
            <w:pPr>
              <w:tabs>
                <w:tab w:val="left" w:pos="7513"/>
              </w:tabs>
              <w:adjustRightInd w:val="0"/>
              <w:snapToGrid w:val="0"/>
              <w:spacing w:line="60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4</w:t>
            </w:r>
          </w:p>
        </w:tc>
      </w:tr>
    </w:tbl>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三、部门主要工作任务</w:t>
      </w:r>
    </w:p>
    <w:p>
      <w:pPr>
        <w:tabs>
          <w:tab w:val="left" w:pos="7513"/>
        </w:tabs>
        <w:adjustRightInd w:val="0"/>
        <w:snapToGrid w:val="0"/>
        <w:spacing w:line="620" w:lineRule="exact"/>
        <w:ind w:firstLine="640" w:firstLineChars="200"/>
        <w:rPr>
          <w:rFonts w:ascii="仿宋" w:hAnsi="仿宋" w:eastAsia="仿宋"/>
          <w:sz w:val="32"/>
          <w:szCs w:val="32"/>
          <w:lang w:val="zh-CN"/>
        </w:rPr>
      </w:pPr>
      <w:r>
        <w:rPr>
          <w:rFonts w:hint="eastAsia" w:ascii="仿宋" w:hAnsi="仿宋" w:eastAsia="仿宋" w:cs="仿宋_GB2312"/>
          <w:sz w:val="32"/>
          <w:szCs w:val="32"/>
          <w:lang w:val="en-US" w:eastAsia="zh-CN"/>
        </w:rPr>
        <w:t>2021</w:t>
      </w:r>
      <w:r>
        <w:rPr>
          <w:rFonts w:hint="eastAsia" w:ascii="仿宋" w:hAnsi="仿宋" w:eastAsia="仿宋"/>
          <w:sz w:val="32"/>
          <w:szCs w:val="32"/>
        </w:rPr>
        <w:t>年，</w:t>
      </w:r>
      <w:r>
        <w:rPr>
          <w:rFonts w:hint="eastAsia" w:ascii="仿宋" w:hAnsi="仿宋" w:eastAsia="仿宋"/>
          <w:sz w:val="32"/>
          <w:szCs w:val="32"/>
          <w:lang w:eastAsia="zh-CN"/>
        </w:rPr>
        <w:t>福州市鼓楼区人大代表服务中心</w:t>
      </w:r>
      <w:r>
        <w:rPr>
          <w:rFonts w:hint="eastAsia" w:ascii="仿宋" w:hAnsi="仿宋" w:eastAsia="仿宋"/>
          <w:sz w:val="32"/>
          <w:szCs w:val="32"/>
          <w:lang w:val="zh-CN"/>
        </w:rPr>
        <w:t>主要任务是：</w:t>
      </w:r>
      <w:r>
        <w:rPr>
          <w:rFonts w:hint="eastAsia" w:ascii="仿宋" w:hAnsi="仿宋" w:eastAsia="仿宋"/>
          <w:sz w:val="32"/>
          <w:szCs w:val="32"/>
          <w:lang w:eastAsia="zh-CN"/>
        </w:rPr>
        <w:t>在福州市鼓楼区人大常委会办公室领导下，</w:t>
      </w:r>
      <w:r>
        <w:rPr>
          <w:rFonts w:hint="eastAsia" w:ascii="仿宋" w:hAnsi="仿宋" w:eastAsia="仿宋"/>
          <w:sz w:val="32"/>
          <w:szCs w:val="32"/>
          <w:lang w:val="zh-CN"/>
        </w:rPr>
        <w:t>召开鼓楼区第十七届人大会议及常委会会议、主任会议；组织人大代表视察、调研及工作评议等活动；换届选举工作。围绕上述任务，</w:t>
      </w:r>
      <w:r>
        <w:rPr>
          <w:rFonts w:hint="eastAsia" w:ascii="仿宋" w:hAnsi="仿宋" w:eastAsia="仿宋"/>
          <w:sz w:val="32"/>
          <w:szCs w:val="32"/>
        </w:rPr>
        <w:t>重点抓好以下工作：</w:t>
      </w:r>
    </w:p>
    <w:p>
      <w:pPr>
        <w:tabs>
          <w:tab w:val="left" w:pos="7513"/>
        </w:tabs>
        <w:adjustRightInd w:val="0"/>
        <w:snapToGrid w:val="0"/>
        <w:spacing w:line="360" w:lineRule="auto"/>
        <w:ind w:firstLine="640" w:firstLineChars="200"/>
        <w:rPr>
          <w:rFonts w:hint="eastAsia" w:ascii="仿宋" w:hAnsi="仿宋" w:eastAsia="仿宋"/>
          <w:sz w:val="32"/>
          <w:szCs w:val="32"/>
          <w:lang w:val="zh-CN"/>
        </w:rPr>
      </w:pPr>
      <w:r>
        <w:rPr>
          <w:rFonts w:hint="eastAsia" w:ascii="仿宋" w:hAnsi="仿宋" w:eastAsia="仿宋"/>
          <w:sz w:val="32"/>
          <w:szCs w:val="32"/>
          <w:lang w:val="zh-CN"/>
        </w:rPr>
        <w:t>（一）召开第十七届人大第五次会议；</w:t>
      </w:r>
    </w:p>
    <w:p>
      <w:pPr>
        <w:tabs>
          <w:tab w:val="left" w:pos="7513"/>
        </w:tabs>
        <w:adjustRightInd w:val="0"/>
        <w:snapToGrid w:val="0"/>
        <w:spacing w:line="360" w:lineRule="auto"/>
        <w:ind w:firstLine="640" w:firstLineChars="200"/>
        <w:rPr>
          <w:rFonts w:hint="eastAsia" w:ascii="仿宋" w:hAnsi="仿宋" w:eastAsia="仿宋"/>
          <w:sz w:val="32"/>
          <w:szCs w:val="32"/>
          <w:lang w:val="zh-CN"/>
        </w:rPr>
      </w:pPr>
      <w:r>
        <w:rPr>
          <w:rFonts w:hint="eastAsia" w:ascii="仿宋" w:hAnsi="仿宋" w:eastAsia="仿宋"/>
          <w:sz w:val="32"/>
          <w:szCs w:val="32"/>
          <w:lang w:val="zh-CN"/>
        </w:rPr>
        <w:t>（二）组织区人大代表视察、检查、调研活动；</w:t>
      </w:r>
    </w:p>
    <w:p>
      <w:pPr>
        <w:tabs>
          <w:tab w:val="left" w:pos="7513"/>
        </w:tabs>
        <w:adjustRightInd w:val="0"/>
        <w:snapToGrid w:val="0"/>
        <w:spacing w:line="360" w:lineRule="auto"/>
        <w:ind w:firstLine="640" w:firstLineChars="200"/>
        <w:rPr>
          <w:rFonts w:hint="eastAsia" w:ascii="仿宋" w:hAnsi="仿宋" w:eastAsia="仿宋"/>
          <w:sz w:val="32"/>
          <w:szCs w:val="32"/>
          <w:lang w:val="zh-CN"/>
        </w:rPr>
      </w:pPr>
      <w:r>
        <w:rPr>
          <w:rFonts w:hint="eastAsia" w:ascii="仿宋" w:hAnsi="仿宋" w:eastAsia="仿宋"/>
          <w:sz w:val="32"/>
          <w:szCs w:val="32"/>
          <w:lang w:val="zh-CN"/>
        </w:rPr>
        <w:t>（三）组织人大代表开展联系和接待选民活动；</w:t>
      </w:r>
    </w:p>
    <w:p>
      <w:pPr>
        <w:tabs>
          <w:tab w:val="left" w:pos="7513"/>
        </w:tabs>
        <w:adjustRightInd w:val="0"/>
        <w:snapToGrid w:val="0"/>
        <w:spacing w:line="600" w:lineRule="exact"/>
        <w:ind w:firstLine="640" w:firstLineChars="200"/>
        <w:rPr>
          <w:rFonts w:hint="eastAsia" w:ascii="仿宋" w:hAnsi="仿宋" w:eastAsia="仿宋"/>
          <w:sz w:val="32"/>
          <w:szCs w:val="32"/>
          <w:lang w:val="zh-CN"/>
        </w:rPr>
      </w:pPr>
      <w:r>
        <w:rPr>
          <w:rFonts w:hint="eastAsia" w:ascii="仿宋" w:hAnsi="仿宋" w:eastAsia="仿宋"/>
          <w:sz w:val="32"/>
          <w:szCs w:val="32"/>
          <w:lang w:val="zh-CN"/>
        </w:rPr>
        <w:t>（四）收集人大代表对“一府两院”工作的意见和建议；</w:t>
      </w:r>
    </w:p>
    <w:p>
      <w:pPr>
        <w:tabs>
          <w:tab w:val="left" w:pos="7513"/>
        </w:tabs>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sz w:val="32"/>
          <w:szCs w:val="32"/>
          <w:lang w:val="zh-CN"/>
        </w:rPr>
        <w:t>（五）选举产生鼓楼区第十八届人大代表。</w:t>
      </w:r>
    </w:p>
    <w:p>
      <w:pPr>
        <w:pStyle w:val="2"/>
        <w:jc w:val="center"/>
        <w:rPr>
          <w:rFonts w:asciiTheme="majorEastAsia" w:hAnsiTheme="majorEastAsia" w:eastAsiaTheme="majorEastAsia"/>
          <w:sz w:val="36"/>
          <w:lang w:eastAsia="zh-CN"/>
        </w:rPr>
      </w:pPr>
      <w:r>
        <w:rPr>
          <w:rFonts w:hint="eastAsia" w:ascii="黑体" w:hAnsi="黑体" w:eastAsia="黑体"/>
          <w:sz w:val="36"/>
          <w:szCs w:val="36"/>
          <w:lang w:eastAsia="zh-CN"/>
        </w:rPr>
        <w:t xml:space="preserve">第二部分 </w:t>
      </w:r>
      <w:r>
        <w:rPr>
          <w:rFonts w:hint="eastAsia" w:ascii="黑体" w:hAnsi="黑体" w:eastAsia="黑体"/>
          <w:sz w:val="36"/>
          <w:szCs w:val="36"/>
          <w:lang w:val="en-US" w:eastAsia="zh-CN"/>
        </w:rPr>
        <w:t>2021</w:t>
      </w:r>
      <w:r>
        <w:rPr>
          <w:rFonts w:hint="eastAsia" w:ascii="黑体" w:hAnsi="黑体" w:eastAsia="黑体"/>
          <w:sz w:val="36"/>
          <w:szCs w:val="36"/>
          <w:lang w:eastAsia="zh-CN"/>
        </w:rPr>
        <w:t>年度部门预算表</w:t>
      </w: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一、收支预算总表</w:t>
      </w:r>
    </w:p>
    <w:tbl>
      <w:tblPr>
        <w:tblStyle w:val="7"/>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81"/>
        <w:gridCol w:w="1329"/>
        <w:gridCol w:w="2846"/>
        <w:gridCol w:w="1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8336" w:type="dxa"/>
            <w:gridSpan w:val="4"/>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32"/>
                <w:szCs w:val="32"/>
                <w:u w:val="none"/>
                <w:lang w:val="en-US" w:eastAsia="zh-CN" w:bidi="ar"/>
              </w:rPr>
              <w:t>2021</w:t>
            </w:r>
            <w:r>
              <w:rPr>
                <w:rFonts w:hint="default" w:ascii="方正小标宋_GBK" w:hAnsi="方正小标宋_GBK" w:eastAsia="方正小标宋_GBK" w:cs="方正小标宋_GBK"/>
                <w:i w:val="0"/>
                <w:color w:val="000000"/>
                <w:kern w:val="0"/>
                <w:sz w:val="32"/>
                <w:szCs w:val="32"/>
                <w:u w:val="none"/>
                <w:lang w:val="en-US" w:eastAsia="zh-CN" w:bidi="ar"/>
              </w:rPr>
              <w:t>年度收支预算总表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681" w:type="dxa"/>
            <w:shd w:val="clear" w:color="auto" w:fill="auto"/>
            <w:vAlign w:val="bottom"/>
          </w:tcPr>
          <w:p>
            <w:pPr>
              <w:rPr>
                <w:rFonts w:hint="eastAsia" w:ascii="宋体" w:hAnsi="宋体" w:eastAsia="宋体" w:cs="宋体"/>
                <w:i w:val="0"/>
                <w:color w:val="000000"/>
                <w:sz w:val="24"/>
                <w:szCs w:val="24"/>
                <w:u w:val="none"/>
              </w:rPr>
            </w:pPr>
          </w:p>
        </w:tc>
        <w:tc>
          <w:tcPr>
            <w:tcW w:w="1329" w:type="dxa"/>
            <w:shd w:val="clear" w:color="auto" w:fill="auto"/>
            <w:vAlign w:val="bottom"/>
          </w:tcPr>
          <w:p>
            <w:pPr>
              <w:rPr>
                <w:rFonts w:hint="eastAsia" w:ascii="宋体" w:hAnsi="宋体" w:eastAsia="宋体" w:cs="宋体"/>
                <w:i w:val="0"/>
                <w:color w:val="000000"/>
                <w:sz w:val="24"/>
                <w:szCs w:val="24"/>
                <w:u w:val="none"/>
              </w:rPr>
            </w:pPr>
          </w:p>
        </w:tc>
        <w:tc>
          <w:tcPr>
            <w:tcW w:w="2846" w:type="dxa"/>
            <w:shd w:val="clear" w:color="auto" w:fill="auto"/>
            <w:vAlign w:val="bottom"/>
          </w:tcPr>
          <w:p>
            <w:pPr>
              <w:rPr>
                <w:rFonts w:hint="eastAsia" w:ascii="宋体" w:hAnsi="宋体" w:eastAsia="宋体" w:cs="宋体"/>
                <w:i w:val="0"/>
                <w:color w:val="000000"/>
                <w:sz w:val="24"/>
                <w:szCs w:val="24"/>
                <w:u w:val="none"/>
              </w:rPr>
            </w:pPr>
          </w:p>
        </w:tc>
        <w:tc>
          <w:tcPr>
            <w:tcW w:w="148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i w:val="0"/>
                <w:color w:val="000000"/>
                <w:sz w:val="22"/>
                <w:szCs w:val="22"/>
                <w:u w:val="none"/>
              </w:rPr>
            </w:pPr>
          </w:p>
        </w:tc>
        <w:tc>
          <w:tcPr>
            <w:tcW w:w="2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收入项目类别</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2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支出项目类别</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c>
          <w:tcPr>
            <w:tcW w:w="2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一、基本支出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二、基金预算财政拨款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2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人员支出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三、财政专户拨款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2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对个人和家庭补助支出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四、单位其他收入</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2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公用支出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五、单位结余结转资金</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2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二、项目支出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收入合计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c>
          <w:tcPr>
            <w:tcW w:w="2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支出合计</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25"/>
              </w:tabs>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二、收入预算总表</w:t>
      </w:r>
    </w:p>
    <w:tbl>
      <w:tblPr>
        <w:tblStyle w:val="7"/>
        <w:tblW w:w="8298" w:type="dxa"/>
        <w:tblInd w:w="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30"/>
        <w:gridCol w:w="1700"/>
        <w:gridCol w:w="1101"/>
        <w:gridCol w:w="931"/>
        <w:gridCol w:w="882"/>
        <w:gridCol w:w="882"/>
        <w:gridCol w:w="882"/>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8298" w:type="dxa"/>
            <w:gridSpan w:val="8"/>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32"/>
                <w:szCs w:val="32"/>
                <w:u w:val="none"/>
                <w:lang w:val="en-US" w:eastAsia="zh-CN" w:bidi="ar"/>
              </w:rPr>
              <w:t>2021</w:t>
            </w:r>
            <w:r>
              <w:rPr>
                <w:rFonts w:hint="default" w:ascii="方正小标宋_GBK" w:hAnsi="方正小标宋_GBK" w:eastAsia="方正小标宋_GBK" w:cs="方正小标宋_GBK"/>
                <w:i w:val="0"/>
                <w:color w:val="000000"/>
                <w:kern w:val="0"/>
                <w:sz w:val="32"/>
                <w:szCs w:val="32"/>
                <w:u w:val="none"/>
                <w:lang w:val="en-US" w:eastAsia="zh-CN" w:bidi="ar"/>
              </w:rPr>
              <w:t>年度收入预算总表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30" w:type="dxa"/>
            <w:shd w:val="clear" w:color="auto" w:fill="auto"/>
            <w:vAlign w:val="bottom"/>
          </w:tcPr>
          <w:p>
            <w:pPr>
              <w:rPr>
                <w:rFonts w:hint="eastAsia" w:ascii="宋体" w:hAnsi="宋体" w:eastAsia="宋体" w:cs="宋体"/>
                <w:i w:val="0"/>
                <w:color w:val="000000"/>
                <w:sz w:val="24"/>
                <w:szCs w:val="24"/>
                <w:u w:val="none"/>
              </w:rPr>
            </w:pPr>
          </w:p>
        </w:tc>
        <w:tc>
          <w:tcPr>
            <w:tcW w:w="1700" w:type="dxa"/>
            <w:shd w:val="clear" w:color="auto" w:fill="auto"/>
            <w:vAlign w:val="bottom"/>
          </w:tcPr>
          <w:p>
            <w:pPr>
              <w:rPr>
                <w:rFonts w:hint="eastAsia" w:ascii="宋体" w:hAnsi="宋体" w:eastAsia="宋体" w:cs="宋体"/>
                <w:i w:val="0"/>
                <w:color w:val="000000"/>
                <w:sz w:val="24"/>
                <w:szCs w:val="24"/>
                <w:u w:val="none"/>
              </w:rPr>
            </w:pPr>
          </w:p>
        </w:tc>
        <w:tc>
          <w:tcPr>
            <w:tcW w:w="1101" w:type="dxa"/>
            <w:shd w:val="clear" w:color="auto" w:fill="auto"/>
            <w:vAlign w:val="center"/>
          </w:tcPr>
          <w:p>
            <w:pPr>
              <w:jc w:val="center"/>
              <w:rPr>
                <w:rFonts w:hint="eastAsia" w:ascii="黑体" w:hAnsi="宋体" w:eastAsia="黑体" w:cs="黑体"/>
                <w:i w:val="0"/>
                <w:color w:val="000000"/>
                <w:sz w:val="40"/>
                <w:szCs w:val="40"/>
                <w:u w:val="none"/>
              </w:rPr>
            </w:pPr>
          </w:p>
        </w:tc>
        <w:tc>
          <w:tcPr>
            <w:tcW w:w="931" w:type="dxa"/>
            <w:shd w:val="clear" w:color="auto" w:fill="auto"/>
            <w:vAlign w:val="center"/>
          </w:tcPr>
          <w:p>
            <w:pPr>
              <w:jc w:val="center"/>
              <w:rPr>
                <w:rFonts w:hint="eastAsia" w:ascii="宋体" w:hAnsi="宋体" w:eastAsia="宋体" w:cs="宋体"/>
                <w:i w:val="0"/>
                <w:color w:val="000000"/>
                <w:sz w:val="24"/>
                <w:szCs w:val="24"/>
                <w:u w:val="none"/>
              </w:rPr>
            </w:pPr>
          </w:p>
        </w:tc>
        <w:tc>
          <w:tcPr>
            <w:tcW w:w="882" w:type="dxa"/>
            <w:shd w:val="clear" w:color="auto" w:fill="auto"/>
            <w:vAlign w:val="center"/>
          </w:tcPr>
          <w:p>
            <w:pPr>
              <w:jc w:val="center"/>
              <w:rPr>
                <w:rFonts w:hint="eastAsia" w:ascii="宋体" w:hAnsi="宋体" w:eastAsia="宋体" w:cs="宋体"/>
                <w:i w:val="0"/>
                <w:color w:val="000000"/>
                <w:sz w:val="24"/>
                <w:szCs w:val="24"/>
                <w:u w:val="none"/>
              </w:rPr>
            </w:pPr>
          </w:p>
        </w:tc>
        <w:tc>
          <w:tcPr>
            <w:tcW w:w="882" w:type="dxa"/>
            <w:shd w:val="clear" w:color="auto" w:fill="auto"/>
            <w:vAlign w:val="center"/>
          </w:tcPr>
          <w:p>
            <w:pPr>
              <w:jc w:val="center"/>
              <w:rPr>
                <w:rFonts w:hint="eastAsia" w:ascii="宋体" w:hAnsi="宋体" w:eastAsia="宋体" w:cs="宋体"/>
                <w:i w:val="0"/>
                <w:color w:val="000000"/>
                <w:sz w:val="24"/>
                <w:szCs w:val="24"/>
                <w:u w:val="none"/>
              </w:rPr>
            </w:pPr>
          </w:p>
        </w:tc>
        <w:tc>
          <w:tcPr>
            <w:tcW w:w="1872"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单位编码</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56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一般公共预算拨款</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基金预算拨款</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财政专户拨款</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单位结余结转资金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单位其它收入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0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30" w:type="dxa"/>
            <w:tcBorders>
              <w:top w:val="single" w:color="auto" w:sz="4" w:space="0"/>
              <w:left w:val="single" w:color="auto"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合计</w:t>
            </w:r>
          </w:p>
        </w:tc>
        <w:tc>
          <w:tcPr>
            <w:tcW w:w="1101"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c>
          <w:tcPr>
            <w:tcW w:w="931"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c>
          <w:tcPr>
            <w:tcW w:w="88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88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882"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99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8" w:hRule="atLeast"/>
        </w:trPr>
        <w:tc>
          <w:tcPr>
            <w:tcW w:w="93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117002</w:t>
            </w:r>
          </w:p>
        </w:tc>
        <w:tc>
          <w:tcPr>
            <w:tcW w:w="170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18"/>
                <w:szCs w:val="18"/>
                <w:u w:val="none"/>
                <w:lang w:val="en-US" w:eastAsia="zh-CN"/>
              </w:rPr>
              <w:t>福州市鼓楼区人大代表服务中心</w:t>
            </w:r>
          </w:p>
        </w:tc>
        <w:tc>
          <w:tcPr>
            <w:tcW w:w="110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c>
          <w:tcPr>
            <w:tcW w:w="93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c>
          <w:tcPr>
            <w:tcW w:w="88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88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882"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99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三、支出预算总表</w:t>
      </w:r>
    </w:p>
    <w:tbl>
      <w:tblPr>
        <w:tblStyle w:val="7"/>
        <w:tblW w:w="83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3"/>
        <w:gridCol w:w="550"/>
        <w:gridCol w:w="425"/>
        <w:gridCol w:w="485"/>
        <w:gridCol w:w="655"/>
        <w:gridCol w:w="650"/>
        <w:gridCol w:w="670"/>
        <w:gridCol w:w="520"/>
        <w:gridCol w:w="600"/>
        <w:gridCol w:w="652"/>
        <w:gridCol w:w="553"/>
        <w:gridCol w:w="55"/>
        <w:gridCol w:w="498"/>
        <w:gridCol w:w="542"/>
        <w:gridCol w:w="520"/>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8308" w:type="dxa"/>
            <w:gridSpan w:val="16"/>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b w:val="0"/>
                <w:bCs w:val="0"/>
                <w:i w:val="0"/>
                <w:color w:val="000000"/>
                <w:sz w:val="32"/>
                <w:szCs w:val="32"/>
                <w:u w:val="none"/>
              </w:rPr>
            </w:pPr>
            <w:r>
              <w:rPr>
                <w:rFonts w:hint="eastAsia" w:ascii="方正小标宋_GBK" w:hAnsi="方正小标宋_GBK" w:eastAsia="方正小标宋_GBK" w:cs="方正小标宋_GBK"/>
                <w:b w:val="0"/>
                <w:bCs w:val="0"/>
                <w:i w:val="0"/>
                <w:color w:val="000000"/>
                <w:kern w:val="0"/>
                <w:sz w:val="32"/>
                <w:szCs w:val="32"/>
                <w:u w:val="none"/>
                <w:lang w:val="en-US" w:eastAsia="zh-CN" w:bidi="ar"/>
              </w:rPr>
              <w:t>2021</w:t>
            </w:r>
            <w:r>
              <w:rPr>
                <w:rFonts w:hint="default" w:ascii="方正小标宋_GBK" w:hAnsi="方正小标宋_GBK" w:eastAsia="方正小标宋_GBK" w:cs="方正小标宋_GBK"/>
                <w:b w:val="0"/>
                <w:bCs w:val="0"/>
                <w:i w:val="0"/>
                <w:color w:val="000000"/>
                <w:kern w:val="0"/>
                <w:sz w:val="32"/>
                <w:szCs w:val="32"/>
                <w:u w:val="none"/>
                <w:lang w:val="en-US" w:eastAsia="zh-CN" w:bidi="ar"/>
              </w:rPr>
              <w:t>年度支出预算总表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453" w:type="dxa"/>
            <w:shd w:val="clear" w:color="auto" w:fill="auto"/>
            <w:vAlign w:val="center"/>
          </w:tcPr>
          <w:p>
            <w:pPr>
              <w:rPr>
                <w:rFonts w:hint="eastAsia" w:ascii="宋体" w:hAnsi="宋体" w:eastAsia="宋体" w:cs="宋体"/>
                <w:b w:val="0"/>
                <w:bCs w:val="0"/>
                <w:i w:val="0"/>
                <w:color w:val="000000"/>
                <w:sz w:val="24"/>
                <w:szCs w:val="24"/>
                <w:u w:val="none"/>
              </w:rPr>
            </w:pPr>
          </w:p>
        </w:tc>
        <w:tc>
          <w:tcPr>
            <w:tcW w:w="550" w:type="dxa"/>
            <w:shd w:val="clear" w:color="auto" w:fill="auto"/>
            <w:vAlign w:val="center"/>
          </w:tcPr>
          <w:p>
            <w:pPr>
              <w:rPr>
                <w:rFonts w:hint="eastAsia" w:ascii="宋体" w:hAnsi="宋体" w:eastAsia="宋体" w:cs="宋体"/>
                <w:b w:val="0"/>
                <w:bCs w:val="0"/>
                <w:i w:val="0"/>
                <w:color w:val="000000"/>
                <w:sz w:val="24"/>
                <w:szCs w:val="24"/>
                <w:u w:val="none"/>
              </w:rPr>
            </w:pPr>
          </w:p>
        </w:tc>
        <w:tc>
          <w:tcPr>
            <w:tcW w:w="425" w:type="dxa"/>
            <w:shd w:val="clear" w:color="auto" w:fill="auto"/>
            <w:vAlign w:val="center"/>
          </w:tcPr>
          <w:p>
            <w:pPr>
              <w:rPr>
                <w:rFonts w:hint="eastAsia" w:ascii="宋体" w:hAnsi="宋体" w:eastAsia="宋体" w:cs="宋体"/>
                <w:b w:val="0"/>
                <w:bCs w:val="0"/>
                <w:i w:val="0"/>
                <w:color w:val="000000"/>
                <w:sz w:val="24"/>
                <w:szCs w:val="24"/>
                <w:u w:val="none"/>
              </w:rPr>
            </w:pPr>
          </w:p>
        </w:tc>
        <w:tc>
          <w:tcPr>
            <w:tcW w:w="485" w:type="dxa"/>
            <w:shd w:val="clear" w:color="auto" w:fill="auto"/>
            <w:vAlign w:val="center"/>
          </w:tcPr>
          <w:p>
            <w:pPr>
              <w:rPr>
                <w:rFonts w:hint="eastAsia" w:ascii="宋体" w:hAnsi="宋体" w:eastAsia="宋体" w:cs="宋体"/>
                <w:b w:val="0"/>
                <w:bCs w:val="0"/>
                <w:i w:val="0"/>
                <w:color w:val="000000"/>
                <w:sz w:val="24"/>
                <w:szCs w:val="24"/>
                <w:u w:val="none"/>
              </w:rPr>
            </w:pPr>
          </w:p>
        </w:tc>
        <w:tc>
          <w:tcPr>
            <w:tcW w:w="655" w:type="dxa"/>
            <w:shd w:val="clear" w:color="auto" w:fill="auto"/>
            <w:vAlign w:val="center"/>
          </w:tcPr>
          <w:p>
            <w:pPr>
              <w:rPr>
                <w:rFonts w:hint="eastAsia" w:ascii="宋体" w:hAnsi="宋体" w:eastAsia="宋体" w:cs="宋体"/>
                <w:b w:val="0"/>
                <w:bCs w:val="0"/>
                <w:i w:val="0"/>
                <w:color w:val="000000"/>
                <w:sz w:val="24"/>
                <w:szCs w:val="24"/>
                <w:u w:val="none"/>
              </w:rPr>
            </w:pPr>
          </w:p>
        </w:tc>
        <w:tc>
          <w:tcPr>
            <w:tcW w:w="650" w:type="dxa"/>
            <w:shd w:val="clear" w:color="auto" w:fill="auto"/>
            <w:vAlign w:val="center"/>
          </w:tcPr>
          <w:p>
            <w:pPr>
              <w:rPr>
                <w:rFonts w:hint="eastAsia" w:ascii="宋体" w:hAnsi="宋体" w:eastAsia="宋体" w:cs="宋体"/>
                <w:b w:val="0"/>
                <w:bCs w:val="0"/>
                <w:i w:val="0"/>
                <w:color w:val="000000"/>
                <w:sz w:val="24"/>
                <w:szCs w:val="24"/>
                <w:u w:val="none"/>
              </w:rPr>
            </w:pPr>
          </w:p>
        </w:tc>
        <w:tc>
          <w:tcPr>
            <w:tcW w:w="670" w:type="dxa"/>
            <w:shd w:val="clear" w:color="auto" w:fill="auto"/>
            <w:vAlign w:val="center"/>
          </w:tcPr>
          <w:p>
            <w:pPr>
              <w:rPr>
                <w:rFonts w:hint="eastAsia" w:ascii="宋体" w:hAnsi="宋体" w:eastAsia="宋体" w:cs="宋体"/>
                <w:b w:val="0"/>
                <w:bCs w:val="0"/>
                <w:i w:val="0"/>
                <w:color w:val="000000"/>
                <w:sz w:val="24"/>
                <w:szCs w:val="24"/>
                <w:u w:val="none"/>
              </w:rPr>
            </w:pPr>
          </w:p>
        </w:tc>
        <w:tc>
          <w:tcPr>
            <w:tcW w:w="520" w:type="dxa"/>
            <w:shd w:val="clear" w:color="auto" w:fill="auto"/>
            <w:vAlign w:val="center"/>
          </w:tcPr>
          <w:p>
            <w:pPr>
              <w:rPr>
                <w:rFonts w:hint="eastAsia" w:ascii="宋体" w:hAnsi="宋体" w:eastAsia="宋体" w:cs="宋体"/>
                <w:b w:val="0"/>
                <w:bCs w:val="0"/>
                <w:i w:val="0"/>
                <w:color w:val="000000"/>
                <w:sz w:val="24"/>
                <w:szCs w:val="24"/>
                <w:u w:val="none"/>
              </w:rPr>
            </w:pPr>
          </w:p>
        </w:tc>
        <w:tc>
          <w:tcPr>
            <w:tcW w:w="600" w:type="dxa"/>
            <w:shd w:val="clear" w:color="auto" w:fill="auto"/>
            <w:vAlign w:val="center"/>
          </w:tcPr>
          <w:p>
            <w:pPr>
              <w:rPr>
                <w:rFonts w:hint="eastAsia" w:ascii="宋体" w:hAnsi="宋体" w:eastAsia="宋体" w:cs="宋体"/>
                <w:b w:val="0"/>
                <w:bCs w:val="0"/>
                <w:i w:val="0"/>
                <w:color w:val="000000"/>
                <w:sz w:val="24"/>
                <w:szCs w:val="24"/>
                <w:u w:val="none"/>
              </w:rPr>
            </w:pPr>
          </w:p>
        </w:tc>
        <w:tc>
          <w:tcPr>
            <w:tcW w:w="652" w:type="dxa"/>
            <w:shd w:val="clear" w:color="auto" w:fill="auto"/>
            <w:vAlign w:val="center"/>
          </w:tcPr>
          <w:p>
            <w:pPr>
              <w:rPr>
                <w:rFonts w:hint="eastAsia" w:ascii="宋体" w:hAnsi="宋体" w:eastAsia="宋体" w:cs="宋体"/>
                <w:b w:val="0"/>
                <w:bCs w:val="0"/>
                <w:i w:val="0"/>
                <w:color w:val="000000"/>
                <w:sz w:val="24"/>
                <w:szCs w:val="24"/>
                <w:u w:val="none"/>
              </w:rPr>
            </w:pPr>
          </w:p>
        </w:tc>
        <w:tc>
          <w:tcPr>
            <w:tcW w:w="553" w:type="dxa"/>
            <w:shd w:val="clear" w:color="auto" w:fill="auto"/>
            <w:vAlign w:val="center"/>
          </w:tcPr>
          <w:p>
            <w:pPr>
              <w:rPr>
                <w:rFonts w:hint="eastAsia" w:ascii="宋体" w:hAnsi="宋体" w:eastAsia="宋体" w:cs="宋体"/>
                <w:b w:val="0"/>
                <w:bCs w:val="0"/>
                <w:i w:val="0"/>
                <w:color w:val="000000"/>
                <w:sz w:val="24"/>
                <w:szCs w:val="24"/>
                <w:u w:val="none"/>
              </w:rPr>
            </w:pPr>
          </w:p>
        </w:tc>
        <w:tc>
          <w:tcPr>
            <w:tcW w:w="553" w:type="dxa"/>
            <w:gridSpan w:val="2"/>
            <w:shd w:val="clear" w:color="auto" w:fill="auto"/>
            <w:vAlign w:val="center"/>
          </w:tcPr>
          <w:p>
            <w:pPr>
              <w:rPr>
                <w:rFonts w:hint="eastAsia" w:ascii="宋体" w:hAnsi="宋体" w:eastAsia="宋体" w:cs="宋体"/>
                <w:b w:val="0"/>
                <w:bCs w:val="0"/>
                <w:i w:val="0"/>
                <w:color w:val="000000"/>
                <w:sz w:val="24"/>
                <w:szCs w:val="24"/>
                <w:u w:val="none"/>
              </w:rPr>
            </w:pPr>
          </w:p>
        </w:tc>
        <w:tc>
          <w:tcPr>
            <w:tcW w:w="1542"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单位编码</w:t>
            </w:r>
          </w:p>
        </w:tc>
        <w:tc>
          <w:tcPr>
            <w:tcW w:w="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单位名称</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科目编码</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科目名称</w:t>
            </w:r>
          </w:p>
        </w:tc>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合计</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人员支出</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对个人和家庭的补助支出</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公用支出</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项目支出</w:t>
            </w:r>
          </w:p>
        </w:tc>
        <w:tc>
          <w:tcPr>
            <w:tcW w:w="33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合计</w:t>
            </w:r>
          </w:p>
        </w:tc>
        <w:tc>
          <w:tcPr>
            <w:tcW w:w="6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一般公共预算拨款</w:t>
            </w:r>
          </w:p>
        </w:tc>
        <w:tc>
          <w:tcPr>
            <w:tcW w:w="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基金预算拨款</w:t>
            </w:r>
          </w:p>
        </w:tc>
        <w:tc>
          <w:tcPr>
            <w:tcW w:w="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财政专户拨款</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单位结余结转资金</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单位其它收入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6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5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w:t>
            </w:r>
          </w:p>
        </w:tc>
        <w:tc>
          <w:tcPr>
            <w:tcW w:w="4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w:t>
            </w:r>
          </w:p>
        </w:tc>
        <w:tc>
          <w:tcPr>
            <w:tcW w:w="4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w:t>
            </w:r>
          </w:p>
        </w:tc>
        <w:tc>
          <w:tcPr>
            <w:tcW w:w="6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w:t>
            </w:r>
          </w:p>
        </w:tc>
        <w:tc>
          <w:tcPr>
            <w:tcW w:w="6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w:t>
            </w:r>
          </w:p>
        </w:tc>
        <w:tc>
          <w:tcPr>
            <w:tcW w:w="6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w:t>
            </w:r>
          </w:p>
        </w:tc>
        <w:tc>
          <w:tcPr>
            <w:tcW w:w="5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4</w:t>
            </w:r>
          </w:p>
        </w:tc>
        <w:tc>
          <w:tcPr>
            <w:tcW w:w="6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5</w:t>
            </w: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6</w:t>
            </w:r>
          </w:p>
        </w:tc>
        <w:tc>
          <w:tcPr>
            <w:tcW w:w="60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7</w:t>
            </w:r>
          </w:p>
        </w:tc>
        <w:tc>
          <w:tcPr>
            <w:tcW w:w="49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8</w:t>
            </w:r>
          </w:p>
        </w:tc>
        <w:tc>
          <w:tcPr>
            <w:tcW w:w="5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9</w:t>
            </w:r>
          </w:p>
        </w:tc>
        <w:tc>
          <w:tcPr>
            <w:tcW w:w="5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10</w:t>
            </w:r>
          </w:p>
        </w:tc>
        <w:tc>
          <w:tcPr>
            <w:tcW w:w="4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5" w:hRule="atLeast"/>
        </w:trPr>
        <w:tc>
          <w:tcPr>
            <w:tcW w:w="453" w:type="dxa"/>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117002</w:t>
            </w:r>
          </w:p>
        </w:tc>
        <w:tc>
          <w:tcPr>
            <w:tcW w:w="55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11"/>
                <w:szCs w:val="11"/>
                <w:u w:val="none"/>
                <w:lang w:val="en-US" w:eastAsia="zh-CN"/>
              </w:rPr>
              <w:t>福州市鼓楼区人大代表服务中心</w:t>
            </w:r>
          </w:p>
        </w:tc>
        <w:tc>
          <w:tcPr>
            <w:tcW w:w="42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2"/>
                <w:szCs w:val="22"/>
                <w:u w:val="none"/>
                <w:lang w:val="en-US" w:eastAsia="zh-CN"/>
              </w:rPr>
              <w:t>2010150</w:t>
            </w:r>
          </w:p>
        </w:tc>
        <w:tc>
          <w:tcPr>
            <w:tcW w:w="48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事业运行</w:t>
            </w:r>
          </w:p>
        </w:tc>
        <w:tc>
          <w:tcPr>
            <w:tcW w:w="6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58.25</w:t>
            </w:r>
          </w:p>
        </w:tc>
        <w:tc>
          <w:tcPr>
            <w:tcW w:w="65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44.10</w:t>
            </w:r>
          </w:p>
        </w:tc>
        <w:tc>
          <w:tcPr>
            <w:tcW w:w="67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7.78</w:t>
            </w:r>
          </w:p>
        </w:tc>
        <w:tc>
          <w:tcPr>
            <w:tcW w:w="52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6.40</w:t>
            </w:r>
          </w:p>
        </w:tc>
        <w:tc>
          <w:tcPr>
            <w:tcW w:w="60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0.00</w:t>
            </w:r>
          </w:p>
        </w:tc>
        <w:tc>
          <w:tcPr>
            <w:tcW w:w="65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58.28</w:t>
            </w:r>
          </w:p>
        </w:tc>
        <w:tc>
          <w:tcPr>
            <w:tcW w:w="60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58.28</w:t>
            </w:r>
          </w:p>
        </w:tc>
        <w:tc>
          <w:tcPr>
            <w:tcW w:w="498" w:type="dxa"/>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0.00</w:t>
            </w:r>
          </w:p>
        </w:tc>
        <w:tc>
          <w:tcPr>
            <w:tcW w:w="54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0.00</w:t>
            </w:r>
          </w:p>
        </w:tc>
        <w:tc>
          <w:tcPr>
            <w:tcW w:w="52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0.00</w:t>
            </w:r>
          </w:p>
        </w:tc>
        <w:tc>
          <w:tcPr>
            <w:tcW w:w="480" w:type="dxa"/>
            <w:tcBorders>
              <w:top w:val="single" w:color="auto" w:sz="4" w:space="0"/>
              <w:left w:val="single" w:color="000000"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0.00</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四、财政拨款收支预算总表</w:t>
      </w:r>
    </w:p>
    <w:tbl>
      <w:tblPr>
        <w:tblStyle w:val="7"/>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85"/>
        <w:gridCol w:w="1243"/>
        <w:gridCol w:w="2766"/>
        <w:gridCol w:w="2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8336" w:type="dxa"/>
            <w:gridSpan w:val="4"/>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32"/>
                <w:szCs w:val="32"/>
                <w:u w:val="none"/>
                <w:lang w:val="en-US" w:eastAsia="zh-CN" w:bidi="ar"/>
              </w:rPr>
              <w:t>2021</w:t>
            </w:r>
            <w:r>
              <w:rPr>
                <w:rFonts w:hint="default" w:ascii="方正小标宋_GBK" w:hAnsi="方正小标宋_GBK" w:eastAsia="方正小标宋_GBK" w:cs="方正小标宋_GBK"/>
                <w:i w:val="0"/>
                <w:color w:val="000000"/>
                <w:kern w:val="0"/>
                <w:sz w:val="32"/>
                <w:szCs w:val="32"/>
                <w:u w:val="none"/>
                <w:lang w:val="en-US" w:eastAsia="zh-CN" w:bidi="ar"/>
              </w:rPr>
              <w:t>年度财政拨款收支预算总表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85" w:type="dxa"/>
            <w:shd w:val="clear" w:color="auto" w:fill="auto"/>
            <w:vAlign w:val="bottom"/>
          </w:tcPr>
          <w:p>
            <w:pPr>
              <w:rPr>
                <w:rFonts w:hint="eastAsia" w:ascii="宋体" w:hAnsi="宋体" w:eastAsia="宋体" w:cs="宋体"/>
                <w:i w:val="0"/>
                <w:color w:val="000000"/>
                <w:sz w:val="24"/>
                <w:szCs w:val="24"/>
                <w:u w:val="none"/>
              </w:rPr>
            </w:pPr>
          </w:p>
        </w:tc>
        <w:tc>
          <w:tcPr>
            <w:tcW w:w="1243" w:type="dxa"/>
            <w:shd w:val="clear" w:color="auto" w:fill="auto"/>
            <w:vAlign w:val="bottom"/>
          </w:tcPr>
          <w:p>
            <w:pPr>
              <w:rPr>
                <w:rFonts w:hint="eastAsia" w:ascii="宋体" w:hAnsi="宋体" w:eastAsia="宋体" w:cs="宋体"/>
                <w:i w:val="0"/>
                <w:color w:val="000000"/>
                <w:sz w:val="24"/>
                <w:szCs w:val="24"/>
                <w:u w:val="none"/>
              </w:rPr>
            </w:pPr>
          </w:p>
        </w:tc>
        <w:tc>
          <w:tcPr>
            <w:tcW w:w="2766" w:type="dxa"/>
            <w:shd w:val="clear" w:color="auto" w:fill="auto"/>
            <w:vAlign w:val="bottom"/>
          </w:tcPr>
          <w:p>
            <w:pPr>
              <w:rPr>
                <w:rFonts w:hint="eastAsia" w:ascii="宋体" w:hAnsi="宋体" w:eastAsia="宋体" w:cs="宋体"/>
                <w:i w:val="0"/>
                <w:color w:val="000000"/>
                <w:sz w:val="24"/>
                <w:szCs w:val="24"/>
                <w:u w:val="none"/>
              </w:rPr>
            </w:pPr>
          </w:p>
        </w:tc>
        <w:tc>
          <w:tcPr>
            <w:tcW w:w="214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i w:val="0"/>
                <w:color w:val="000000"/>
                <w:sz w:val="22"/>
                <w:szCs w:val="22"/>
                <w:u w:val="none"/>
              </w:rPr>
            </w:pP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收入项目类别</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支出项目类别</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一、基本支出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二、基金预算财政拨款</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人员支出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对个人和家庭补助支出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公用支出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85" w:type="dxa"/>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3"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6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二、项目支出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收入合计</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支出合计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五、一般公共预算拨款支出预算表</w:t>
      </w:r>
    </w:p>
    <w:tbl>
      <w:tblPr>
        <w:tblStyle w:val="7"/>
        <w:tblW w:w="8410" w:type="dxa"/>
        <w:tblInd w:w="-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10"/>
        <w:gridCol w:w="1840"/>
        <w:gridCol w:w="1400"/>
        <w:gridCol w:w="1690"/>
        <w:gridCol w:w="121"/>
        <w:gridCol w:w="13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3" w:hRule="atLeast"/>
        </w:trPr>
        <w:tc>
          <w:tcPr>
            <w:tcW w:w="841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32"/>
                <w:szCs w:val="32"/>
                <w:u w:val="none"/>
                <w:lang w:val="en-US" w:eastAsia="zh-CN" w:bidi="ar"/>
              </w:rPr>
              <w:t>2021</w:t>
            </w:r>
            <w:r>
              <w:rPr>
                <w:rFonts w:hint="default" w:ascii="方正小标宋_GBK" w:hAnsi="方正小标宋_GBK" w:eastAsia="方正小标宋_GBK" w:cs="方正小标宋_GBK"/>
                <w:i w:val="0"/>
                <w:color w:val="000000"/>
                <w:kern w:val="0"/>
                <w:sz w:val="32"/>
                <w:szCs w:val="32"/>
                <w:u w:val="none"/>
                <w:lang w:val="en-US" w:eastAsia="zh-CN" w:bidi="ar"/>
              </w:rPr>
              <w:t>年度一般公共预算拨款支出预算表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2010" w:type="dxa"/>
            <w:tcBorders>
              <w:top w:val="nil"/>
              <w:left w:val="nil"/>
              <w:bottom w:val="single" w:color="auto" w:sz="4" w:space="0"/>
            </w:tcBorders>
            <w:shd w:val="clear" w:color="auto" w:fill="auto"/>
            <w:vAlign w:val="center"/>
          </w:tcPr>
          <w:p>
            <w:pPr>
              <w:rPr>
                <w:rFonts w:hint="eastAsia" w:ascii="宋体" w:hAnsi="宋体" w:eastAsia="宋体" w:cs="宋体"/>
                <w:i w:val="0"/>
                <w:color w:val="000000"/>
                <w:sz w:val="24"/>
                <w:szCs w:val="24"/>
                <w:u w:val="none"/>
              </w:rPr>
            </w:pPr>
          </w:p>
        </w:tc>
        <w:tc>
          <w:tcPr>
            <w:tcW w:w="1840" w:type="dxa"/>
            <w:tcBorders>
              <w:top w:val="nil"/>
              <w:bottom w:val="single" w:color="auto" w:sz="4" w:space="0"/>
            </w:tcBorders>
            <w:shd w:val="clear" w:color="auto" w:fill="auto"/>
            <w:vAlign w:val="center"/>
          </w:tcPr>
          <w:p>
            <w:pPr>
              <w:rPr>
                <w:rFonts w:hint="eastAsia" w:ascii="宋体" w:hAnsi="宋体" w:eastAsia="宋体" w:cs="宋体"/>
                <w:i w:val="0"/>
                <w:color w:val="000000"/>
                <w:sz w:val="24"/>
                <w:szCs w:val="24"/>
                <w:u w:val="none"/>
              </w:rPr>
            </w:pPr>
          </w:p>
        </w:tc>
        <w:tc>
          <w:tcPr>
            <w:tcW w:w="1400" w:type="dxa"/>
            <w:tcBorders>
              <w:top w:val="nil"/>
              <w:bottom w:val="single" w:color="auto" w:sz="4" w:space="0"/>
            </w:tcBorders>
            <w:shd w:val="clear" w:color="auto" w:fill="auto"/>
            <w:vAlign w:val="center"/>
          </w:tcPr>
          <w:p>
            <w:pPr>
              <w:rPr>
                <w:rFonts w:hint="eastAsia" w:ascii="宋体" w:hAnsi="宋体" w:eastAsia="宋体" w:cs="宋体"/>
                <w:i w:val="0"/>
                <w:color w:val="000000"/>
                <w:sz w:val="24"/>
                <w:szCs w:val="24"/>
                <w:u w:val="none"/>
              </w:rPr>
            </w:pPr>
          </w:p>
        </w:tc>
        <w:tc>
          <w:tcPr>
            <w:tcW w:w="1811" w:type="dxa"/>
            <w:gridSpan w:val="2"/>
            <w:tcBorders>
              <w:top w:val="nil"/>
              <w:bottom w:val="single" w:color="auto" w:sz="4" w:space="0"/>
            </w:tcBorders>
            <w:shd w:val="clear" w:color="auto" w:fill="auto"/>
            <w:vAlign w:val="center"/>
          </w:tcPr>
          <w:p>
            <w:pPr>
              <w:rPr>
                <w:rFonts w:hint="eastAsia" w:ascii="宋体" w:hAnsi="宋体" w:eastAsia="宋体" w:cs="宋体"/>
                <w:i w:val="0"/>
                <w:color w:val="000000"/>
                <w:sz w:val="24"/>
                <w:szCs w:val="24"/>
                <w:u w:val="none"/>
              </w:rPr>
            </w:pPr>
          </w:p>
        </w:tc>
        <w:tc>
          <w:tcPr>
            <w:tcW w:w="1349" w:type="dxa"/>
            <w:tcBorders>
              <w:top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10" w:type="dxa"/>
            <w:vMerge w:val="restart"/>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1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160" w:type="dxa"/>
            <w:gridSpan w:val="3"/>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10" w:type="dxa"/>
            <w:vMerge w:val="continue"/>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9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470" w:type="dxa"/>
            <w:gridSpan w:val="2"/>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10"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70" w:type="dxa"/>
            <w:gridSpan w:val="2"/>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trPr>
        <w:tc>
          <w:tcPr>
            <w:tcW w:w="2010" w:type="dxa"/>
            <w:tcBorders>
              <w:top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2010150</w:t>
            </w:r>
          </w:p>
        </w:tc>
        <w:tc>
          <w:tcPr>
            <w:tcW w:w="1840" w:type="dxa"/>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事业运行</w:t>
            </w:r>
          </w:p>
        </w:tc>
        <w:tc>
          <w:tcPr>
            <w:tcW w:w="1400" w:type="dxa"/>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c>
          <w:tcPr>
            <w:tcW w:w="1690" w:type="dxa"/>
            <w:tcBorders>
              <w:top w:val="single" w:color="000000" w:sz="4" w:space="0"/>
              <w:left w:val="single" w:color="000000" w:sz="4" w:space="0"/>
              <w:right w:val="single" w:color="000000" w:sz="4" w:space="0"/>
            </w:tcBorders>
            <w:shd w:val="clear" w:color="auto" w:fill="auto"/>
            <w:vAlign w:val="bottom"/>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58.28</w:t>
            </w:r>
          </w:p>
        </w:tc>
        <w:tc>
          <w:tcPr>
            <w:tcW w:w="1470" w:type="dxa"/>
            <w:gridSpan w:val="2"/>
            <w:tcBorders>
              <w:top w:val="single" w:color="000000" w:sz="4" w:space="0"/>
              <w:left w:val="single" w:color="000000" w:sz="4" w:space="0"/>
              <w:bottom w:val="single" w:color="000000" w:sz="4" w:space="0"/>
            </w:tcBorders>
            <w:shd w:val="clear" w:color="auto" w:fill="auto"/>
            <w:vAlign w:val="bottom"/>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六、政府性基金拨款支出预算表</w:t>
      </w:r>
    </w:p>
    <w:tbl>
      <w:tblPr>
        <w:tblStyle w:val="7"/>
        <w:tblW w:w="8393"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93"/>
        <w:gridCol w:w="2150"/>
        <w:gridCol w:w="1200"/>
        <w:gridCol w:w="182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5" w:hRule="atLeast"/>
        </w:trPr>
        <w:tc>
          <w:tcPr>
            <w:tcW w:w="8393" w:type="dxa"/>
            <w:gridSpan w:val="5"/>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32"/>
                <w:szCs w:val="32"/>
                <w:u w:val="none"/>
                <w:lang w:val="en-US" w:eastAsia="zh-CN" w:bidi="ar"/>
              </w:rPr>
              <w:t>2021</w:t>
            </w:r>
            <w:r>
              <w:rPr>
                <w:rFonts w:hint="default" w:ascii="方正小标宋_GBK" w:hAnsi="方正小标宋_GBK" w:eastAsia="方正小标宋_GBK" w:cs="方正小标宋_GBK"/>
                <w:i w:val="0"/>
                <w:color w:val="000000"/>
                <w:kern w:val="0"/>
                <w:sz w:val="32"/>
                <w:szCs w:val="32"/>
                <w:u w:val="none"/>
                <w:lang w:val="en-US" w:eastAsia="zh-CN" w:bidi="ar"/>
              </w:rPr>
              <w:t>年度政府性基金拨款支出预算表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3" w:hRule="atLeast"/>
        </w:trPr>
        <w:tc>
          <w:tcPr>
            <w:tcW w:w="1693" w:type="dxa"/>
            <w:shd w:val="clear" w:color="auto" w:fill="auto"/>
            <w:vAlign w:val="center"/>
          </w:tcPr>
          <w:p>
            <w:pPr>
              <w:rPr>
                <w:rFonts w:hint="eastAsia" w:ascii="宋体" w:hAnsi="宋体" w:eastAsia="宋体" w:cs="宋体"/>
                <w:i w:val="0"/>
                <w:color w:val="000000"/>
                <w:sz w:val="24"/>
                <w:szCs w:val="24"/>
                <w:u w:val="none"/>
              </w:rPr>
            </w:pPr>
          </w:p>
        </w:tc>
        <w:tc>
          <w:tcPr>
            <w:tcW w:w="2150" w:type="dxa"/>
            <w:shd w:val="clear" w:color="auto" w:fill="auto"/>
            <w:vAlign w:val="center"/>
          </w:tcPr>
          <w:p>
            <w:pPr>
              <w:rPr>
                <w:rFonts w:hint="eastAsia" w:ascii="宋体" w:hAnsi="宋体" w:eastAsia="宋体" w:cs="宋体"/>
                <w:i w:val="0"/>
                <w:color w:val="000000"/>
                <w:sz w:val="24"/>
                <w:szCs w:val="24"/>
                <w:u w:val="none"/>
              </w:rPr>
            </w:pPr>
          </w:p>
        </w:tc>
        <w:tc>
          <w:tcPr>
            <w:tcW w:w="1200" w:type="dxa"/>
            <w:shd w:val="clear" w:color="auto" w:fill="auto"/>
            <w:vAlign w:val="center"/>
          </w:tcPr>
          <w:p>
            <w:pPr>
              <w:rPr>
                <w:rFonts w:hint="eastAsia" w:ascii="宋体" w:hAnsi="宋体" w:eastAsia="宋体" w:cs="宋体"/>
                <w:i w:val="0"/>
                <w:color w:val="000000"/>
                <w:sz w:val="24"/>
                <w:szCs w:val="24"/>
                <w:u w:val="none"/>
              </w:rPr>
            </w:pPr>
          </w:p>
        </w:tc>
        <w:tc>
          <w:tcPr>
            <w:tcW w:w="3350" w:type="dxa"/>
            <w:gridSpan w:val="2"/>
            <w:shd w:val="clear" w:color="auto" w:fill="auto"/>
            <w:vAlign w:val="center"/>
          </w:tcPr>
          <w:p>
            <w:pPr>
              <w:keepNext w:val="0"/>
              <w:keepLines w:val="0"/>
              <w:widowControl/>
              <w:suppressLineNumbers w:val="0"/>
              <w:ind w:firstLine="1980" w:firstLineChars="900"/>
              <w:jc w:val="both"/>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lang w:val="en-US" w:eastAsia="zh-CN"/>
              </w:rPr>
            </w:pPr>
            <w:bookmarkStart w:id="0" w:name="_GoBack"/>
            <w:r>
              <w:rPr>
                <w:rFonts w:hint="eastAsia" w:ascii="宋体" w:hAnsi="宋体" w:eastAsia="宋体" w:cs="宋体"/>
                <w:i w:val="0"/>
                <w:color w:val="000000"/>
                <w:sz w:val="22"/>
                <w:szCs w:val="22"/>
                <w:u w:val="none"/>
                <w:lang w:val="en-US" w:eastAsia="zh-CN"/>
              </w:rPr>
              <w:t>0.00</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863" w:type="dxa"/>
            <w:gridSpan w:val="4"/>
            <w:shd w:val="clear" w:color="auto" w:fill="auto"/>
            <w:vAlign w:val="bottom"/>
          </w:tcPr>
          <w:p>
            <w:pPr>
              <w:keepNext w:val="0"/>
              <w:keepLines w:val="0"/>
              <w:widowControl/>
              <w:suppressLineNumbers w:val="0"/>
              <w:jc w:val="left"/>
              <w:textAlignment w:val="bottom"/>
              <w:rPr>
                <w:rFonts w:hint="default" w:ascii="楷体" w:hAnsi="楷体" w:eastAsia="楷体" w:cs="楷体"/>
                <w:i w:val="0"/>
                <w:color w:val="000000"/>
                <w:sz w:val="22"/>
                <w:szCs w:val="22"/>
                <w:u w:val="none"/>
                <w:lang w:val="en-US" w:eastAsia="zh-CN"/>
              </w:rPr>
            </w:pPr>
            <w:r>
              <w:rPr>
                <w:rFonts w:hint="eastAsia" w:ascii="楷体" w:hAnsi="楷体" w:eastAsia="楷体" w:cs="楷体"/>
                <w:i w:val="0"/>
                <w:color w:val="000000"/>
                <w:sz w:val="22"/>
                <w:szCs w:val="22"/>
                <w:u w:val="none"/>
                <w:lang w:eastAsia="zh-CN"/>
              </w:rPr>
              <w:t>本单位</w:t>
            </w:r>
            <w:r>
              <w:rPr>
                <w:rFonts w:hint="eastAsia" w:ascii="楷体" w:hAnsi="楷体" w:eastAsia="楷体" w:cs="楷体"/>
                <w:i w:val="0"/>
                <w:color w:val="000000"/>
                <w:sz w:val="22"/>
                <w:szCs w:val="22"/>
                <w:u w:val="none"/>
                <w:lang w:val="en-US" w:eastAsia="zh-CN"/>
              </w:rPr>
              <w:t>2021年度没有使用政府性基金预算拨款安排的支出</w:t>
            </w:r>
          </w:p>
        </w:tc>
        <w:tc>
          <w:tcPr>
            <w:tcW w:w="1530"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863" w:type="dxa"/>
            <w:gridSpan w:val="4"/>
            <w:shd w:val="clear" w:color="auto" w:fill="auto"/>
            <w:vAlign w:val="bottom"/>
          </w:tcPr>
          <w:p>
            <w:pPr>
              <w:keepNext w:val="0"/>
              <w:keepLines w:val="0"/>
              <w:widowControl/>
              <w:suppressLineNumbers w:val="0"/>
              <w:jc w:val="left"/>
              <w:textAlignment w:val="bottom"/>
              <w:rPr>
                <w:rFonts w:hint="eastAsia" w:ascii="楷体" w:hAnsi="楷体" w:eastAsia="楷体" w:cs="楷体"/>
                <w:i w:val="0"/>
                <w:color w:val="000000"/>
                <w:sz w:val="22"/>
                <w:szCs w:val="22"/>
                <w:u w:val="none"/>
                <w:lang w:val="en-US" w:eastAsia="zh-CN"/>
              </w:rPr>
            </w:pPr>
          </w:p>
        </w:tc>
        <w:tc>
          <w:tcPr>
            <w:tcW w:w="1530" w:type="dxa"/>
            <w:shd w:val="clear" w:color="auto" w:fill="auto"/>
            <w:vAlign w:val="center"/>
          </w:tcPr>
          <w:p>
            <w:pPr>
              <w:rPr>
                <w:rFonts w:hint="eastAsia" w:ascii="宋体" w:hAnsi="宋体" w:eastAsia="宋体" w:cs="宋体"/>
                <w:i w:val="0"/>
                <w:color w:val="000000"/>
                <w:sz w:val="22"/>
                <w:szCs w:val="22"/>
                <w:u w:val="none"/>
              </w:rPr>
            </w:pP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七、一般公共预算支出经济分类情况表</w:t>
      </w:r>
    </w:p>
    <w:tbl>
      <w:tblPr>
        <w:tblStyle w:val="7"/>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95"/>
        <w:gridCol w:w="3601"/>
        <w:gridCol w:w="3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8336" w:type="dxa"/>
            <w:gridSpan w:val="3"/>
            <w:shd w:val="clear" w:color="auto" w:fill="FFFFFF"/>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32"/>
                <w:szCs w:val="32"/>
                <w:u w:val="none"/>
                <w:lang w:val="en-US" w:eastAsia="zh-CN" w:bidi="ar"/>
              </w:rPr>
              <w:t>2021</w:t>
            </w:r>
            <w:r>
              <w:rPr>
                <w:rFonts w:hint="default" w:ascii="方正小标宋_GBK" w:hAnsi="方正小标宋_GBK" w:eastAsia="方正小标宋_GBK" w:cs="方正小标宋_GBK"/>
                <w:i w:val="0"/>
                <w:color w:val="000000"/>
                <w:kern w:val="0"/>
                <w:sz w:val="32"/>
                <w:szCs w:val="32"/>
                <w:u w:val="none"/>
                <w:lang w:val="en-US" w:eastAsia="zh-CN" w:bidi="ar"/>
              </w:rPr>
              <w:t>年度一般公共预算支出经济分类情况表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95" w:type="dxa"/>
            <w:shd w:val="clear" w:color="auto" w:fill="FFFFFF"/>
            <w:vAlign w:val="center"/>
          </w:tcPr>
          <w:p>
            <w:pPr>
              <w:jc w:val="left"/>
              <w:rPr>
                <w:rFonts w:hint="eastAsia" w:ascii="宋体" w:hAnsi="宋体" w:eastAsia="宋体" w:cs="宋体"/>
                <w:i w:val="0"/>
                <w:color w:val="000000"/>
                <w:sz w:val="20"/>
                <w:szCs w:val="20"/>
                <w:u w:val="none"/>
              </w:rPr>
            </w:pPr>
          </w:p>
        </w:tc>
        <w:tc>
          <w:tcPr>
            <w:tcW w:w="3601" w:type="dxa"/>
            <w:shd w:val="clear" w:color="auto" w:fill="auto"/>
            <w:vAlign w:val="bottom"/>
          </w:tcPr>
          <w:p>
            <w:pPr>
              <w:jc w:val="right"/>
              <w:rPr>
                <w:rFonts w:hint="eastAsia" w:ascii="宋体" w:hAnsi="宋体" w:eastAsia="宋体" w:cs="宋体"/>
                <w:i w:val="0"/>
                <w:color w:val="000000"/>
                <w:sz w:val="20"/>
                <w:szCs w:val="20"/>
                <w:u w:val="none"/>
              </w:rPr>
            </w:pPr>
          </w:p>
        </w:tc>
        <w:tc>
          <w:tcPr>
            <w:tcW w:w="3040"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30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58.28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资本性支出（基本建设）</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对企业补助（基本建设）</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对社会保障基金补助</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八、一般公共预算基本支出经济分类情况表</w:t>
      </w:r>
    </w:p>
    <w:tbl>
      <w:tblPr>
        <w:tblStyle w:val="7"/>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92"/>
        <w:gridCol w:w="3544"/>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8336" w:type="dxa"/>
            <w:gridSpan w:val="3"/>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32"/>
                <w:szCs w:val="32"/>
                <w:u w:val="none"/>
                <w:lang w:val="en-US" w:eastAsia="zh-CN" w:bidi="ar"/>
              </w:rPr>
              <w:t>2021</w:t>
            </w:r>
            <w:r>
              <w:rPr>
                <w:rFonts w:hint="default" w:ascii="方正小标宋_GBK" w:hAnsi="方正小标宋_GBK" w:eastAsia="方正小标宋_GBK" w:cs="方正小标宋_GBK"/>
                <w:i w:val="0"/>
                <w:color w:val="000000"/>
                <w:kern w:val="0"/>
                <w:sz w:val="32"/>
                <w:szCs w:val="32"/>
                <w:u w:val="none"/>
                <w:lang w:val="en-US" w:eastAsia="zh-CN" w:bidi="ar"/>
              </w:rPr>
              <w:t>年度一般公共预算基本支出经济分类情况表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92" w:type="dxa"/>
            <w:shd w:val="clear" w:color="auto" w:fill="auto"/>
            <w:vAlign w:val="center"/>
          </w:tcPr>
          <w:p>
            <w:pPr>
              <w:rPr>
                <w:rFonts w:hint="eastAsia" w:ascii="宋体" w:hAnsi="宋体" w:eastAsia="宋体" w:cs="宋体"/>
                <w:i w:val="0"/>
                <w:color w:val="000000"/>
                <w:sz w:val="20"/>
                <w:szCs w:val="20"/>
                <w:u w:val="none"/>
              </w:rPr>
            </w:pPr>
          </w:p>
        </w:tc>
        <w:tc>
          <w:tcPr>
            <w:tcW w:w="6644"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 编码</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58.28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44.10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个人农业生产补贴</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2"/>
              </w:tabs>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债务利息及费用支出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国内债务发行费用</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30704</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国外债务发行费用</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资本性支出（基本建设）</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30905</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30906</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30907</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30908</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30999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其他基本建设支出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拆迁补偿</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对企业补助（基本建设）</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资本金注入</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31199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其他对企业补助</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31201</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资本金注入</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政府投资基金股权投资</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31204</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费用补贴</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31205</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利息补贴</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31299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其他对企业补助</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对社会保障基金补助</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31302</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对社会保险基金补助</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31303</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补充全国社会保障基金</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其他支出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国家赔偿费用支出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九、一般公共预算“三公”经费支出预算表</w:t>
      </w:r>
    </w:p>
    <w:tbl>
      <w:tblPr>
        <w:tblStyle w:val="7"/>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90"/>
        <w:gridCol w:w="4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jc w:val="center"/>
        </w:trPr>
        <w:tc>
          <w:tcPr>
            <w:tcW w:w="8336" w:type="dxa"/>
            <w:gridSpan w:val="2"/>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32"/>
                <w:szCs w:val="32"/>
                <w:u w:val="none"/>
                <w:lang w:val="en-US" w:eastAsia="zh-CN" w:bidi="ar"/>
              </w:rPr>
              <w:t>2021</w:t>
            </w:r>
            <w:r>
              <w:rPr>
                <w:rFonts w:hint="default" w:ascii="方正小标宋_GBK" w:hAnsi="方正小标宋_GBK" w:eastAsia="方正小标宋_GBK" w:cs="方正小标宋_GBK"/>
                <w:i w:val="0"/>
                <w:color w:val="000000"/>
                <w:kern w:val="0"/>
                <w:sz w:val="32"/>
                <w:szCs w:val="32"/>
                <w:u w:val="none"/>
                <w:lang w:val="en-US" w:eastAsia="zh-CN" w:bidi="ar"/>
              </w:rPr>
              <w:t>年度一般公共预算“三公”经费支出预算表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190" w:type="dxa"/>
            <w:shd w:val="clear" w:color="auto" w:fill="auto"/>
            <w:vAlign w:val="center"/>
          </w:tcPr>
          <w:p>
            <w:pPr>
              <w:rPr>
                <w:rFonts w:hint="eastAsia" w:ascii="楷体_GB2312" w:hAnsi="宋体" w:eastAsia="楷体_GB2312" w:cs="楷体_GB2312"/>
                <w:i w:val="0"/>
                <w:color w:val="000000"/>
                <w:sz w:val="24"/>
                <w:szCs w:val="24"/>
                <w:u w:val="none"/>
              </w:rPr>
            </w:pPr>
          </w:p>
        </w:tc>
        <w:tc>
          <w:tcPr>
            <w:tcW w:w="4146"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4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0" w:hRule="atLeast"/>
          <w:jc w:val="center"/>
        </w:trPr>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4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1、因公出国（境）费用</w:t>
            </w:r>
          </w:p>
        </w:tc>
        <w:tc>
          <w:tcPr>
            <w:tcW w:w="4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2、公务接待费</w:t>
            </w:r>
          </w:p>
        </w:tc>
        <w:tc>
          <w:tcPr>
            <w:tcW w:w="4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jc w:val="center"/>
        </w:trPr>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3、公务用车购置及运行费</w:t>
            </w:r>
          </w:p>
        </w:tc>
        <w:tc>
          <w:tcPr>
            <w:tcW w:w="4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0" w:hRule="atLeast"/>
          <w:jc w:val="center"/>
        </w:trPr>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其中：（1）公务用车运行费</w:t>
            </w:r>
          </w:p>
        </w:tc>
        <w:tc>
          <w:tcPr>
            <w:tcW w:w="4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（2）公务用车购置费</w:t>
            </w:r>
          </w:p>
        </w:tc>
        <w:tc>
          <w:tcPr>
            <w:tcW w:w="4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jc w:val="center"/>
        </w:trPr>
        <w:tc>
          <w:tcPr>
            <w:tcW w:w="8336" w:type="dxa"/>
            <w:gridSpan w:val="2"/>
            <w:tcBorders>
              <w:top w:val="single" w:color="000000" w:sz="4" w:space="0"/>
            </w:tcBorders>
            <w:shd w:val="clear" w:color="auto" w:fill="auto"/>
            <w:vAlign w:val="center"/>
          </w:tcPr>
          <w:p>
            <w:pPr>
              <w:keepNext w:val="0"/>
              <w:keepLines w:val="0"/>
              <w:widowControl/>
              <w:suppressLineNumbers w:val="0"/>
              <w:jc w:val="left"/>
              <w:textAlignment w:val="center"/>
              <w:rPr>
                <w:rFonts w:ascii="华文楷体" w:hAnsi="华文楷体" w:eastAsia="华文楷体" w:cs="华文楷体"/>
                <w:i w:val="0"/>
                <w:color w:val="000000"/>
                <w:sz w:val="22"/>
                <w:szCs w:val="22"/>
                <w:u w:val="none"/>
              </w:rPr>
            </w:pPr>
          </w:p>
        </w:tc>
      </w:tr>
    </w:tbl>
    <w:p>
      <w:pPr>
        <w:pStyle w:val="2"/>
        <w:ind w:firstLine="1080" w:firstLineChars="300"/>
        <w:jc w:val="both"/>
        <w:rPr>
          <w:rFonts w:ascii="黑体" w:hAnsi="黑体" w:eastAsia="黑体"/>
          <w:sz w:val="36"/>
          <w:szCs w:val="36"/>
          <w:lang w:eastAsia="zh-CN"/>
        </w:rPr>
      </w:pPr>
      <w:r>
        <w:rPr>
          <w:rFonts w:hint="eastAsia" w:ascii="黑体" w:hAnsi="黑体" w:eastAsia="黑体"/>
          <w:sz w:val="36"/>
          <w:szCs w:val="36"/>
          <w:lang w:eastAsia="zh-CN"/>
        </w:rPr>
        <w:t xml:space="preserve">第三部分 </w:t>
      </w:r>
      <w:r>
        <w:rPr>
          <w:rFonts w:hint="eastAsia" w:ascii="黑体" w:hAnsi="黑体" w:eastAsia="黑体"/>
          <w:sz w:val="36"/>
          <w:szCs w:val="36"/>
          <w:lang w:val="en-US" w:eastAsia="zh-CN"/>
        </w:rPr>
        <w:t>2021</w:t>
      </w:r>
      <w:r>
        <w:rPr>
          <w:rFonts w:hint="eastAsia" w:ascii="黑体" w:hAnsi="黑体" w:eastAsia="黑体"/>
          <w:sz w:val="3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一、预算收支总体情况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按照综合预算的原则，部门所有收入和支出均纳入部门预算管理。</w:t>
      </w:r>
      <w:r>
        <w:rPr>
          <w:rFonts w:hint="eastAsia" w:ascii="仿宋" w:hAnsi="仿宋" w:eastAsia="仿宋" w:cs="仿宋_GB2312"/>
          <w:sz w:val="32"/>
          <w:szCs w:val="32"/>
          <w:lang w:val="en-US" w:eastAsia="zh-CN"/>
        </w:rPr>
        <w:t>2021</w:t>
      </w:r>
      <w:r>
        <w:rPr>
          <w:rFonts w:hint="eastAsia" w:ascii="仿宋" w:hAnsi="仿宋" w:eastAsia="仿宋" w:cs="仿宋_GB2312"/>
          <w:sz w:val="32"/>
          <w:szCs w:val="32"/>
        </w:rPr>
        <w:t>年,</w:t>
      </w:r>
      <w:r>
        <w:rPr>
          <w:rFonts w:hint="eastAsia" w:ascii="仿宋" w:hAnsi="仿宋" w:eastAsia="仿宋" w:cs="仿宋_GB2312"/>
          <w:sz w:val="32"/>
          <w:szCs w:val="32"/>
          <w:lang w:eastAsia="zh-CN"/>
        </w:rPr>
        <w:t>福州市鼓楼区人大代表服务中心</w:t>
      </w:r>
      <w:r>
        <w:rPr>
          <w:rFonts w:hint="eastAsia" w:ascii="仿宋" w:hAnsi="仿宋" w:eastAsia="仿宋" w:cs="仿宋_GB2312"/>
          <w:sz w:val="32"/>
          <w:szCs w:val="32"/>
        </w:rPr>
        <w:t>部门收入预算为</w:t>
      </w:r>
      <w:r>
        <w:rPr>
          <w:rFonts w:hint="eastAsia" w:ascii="仿宋" w:hAnsi="仿宋" w:eastAsia="仿宋" w:cs="仿宋_GB2312"/>
          <w:sz w:val="32"/>
          <w:szCs w:val="32"/>
          <w:lang w:val="en-US" w:eastAsia="zh-CN"/>
        </w:rPr>
        <w:t>58.28</w:t>
      </w:r>
      <w:r>
        <w:rPr>
          <w:rFonts w:hint="eastAsia" w:ascii="仿宋" w:hAnsi="仿宋" w:eastAsia="仿宋" w:cs="仿宋_GB2312"/>
          <w:sz w:val="32"/>
          <w:szCs w:val="32"/>
        </w:rPr>
        <w:t>万元，比上年增加</w:t>
      </w:r>
      <w:r>
        <w:rPr>
          <w:rFonts w:hint="eastAsia" w:ascii="仿宋" w:hAnsi="仿宋" w:eastAsia="仿宋" w:cs="仿宋_GB2312"/>
          <w:sz w:val="32"/>
          <w:szCs w:val="32"/>
          <w:lang w:val="en-US" w:eastAsia="zh-CN"/>
        </w:rPr>
        <w:t>12.46</w:t>
      </w:r>
      <w:r>
        <w:rPr>
          <w:rFonts w:hint="eastAsia" w:ascii="仿宋" w:hAnsi="仿宋" w:eastAsia="仿宋" w:cs="仿宋_GB2312"/>
          <w:sz w:val="32"/>
          <w:szCs w:val="32"/>
        </w:rPr>
        <w:t>万元，主要原因是</w:t>
      </w:r>
      <w:r>
        <w:rPr>
          <w:rFonts w:hint="eastAsia" w:ascii="仿宋" w:hAnsi="仿宋" w:eastAsia="仿宋" w:cs="仿宋_GB2312"/>
          <w:sz w:val="32"/>
          <w:szCs w:val="32"/>
          <w:lang w:eastAsia="zh-CN"/>
        </w:rPr>
        <w:t>增加人员经费</w:t>
      </w:r>
      <w:r>
        <w:rPr>
          <w:rFonts w:hint="eastAsia" w:ascii="仿宋" w:hAnsi="仿宋" w:eastAsia="仿宋" w:cs="仿宋_GB2312"/>
          <w:sz w:val="32"/>
          <w:szCs w:val="32"/>
        </w:rPr>
        <w:t>。</w:t>
      </w:r>
      <w:r>
        <w:rPr>
          <w:rFonts w:hint="eastAsia" w:ascii="仿宋" w:hAnsi="仿宋" w:eastAsia="仿宋"/>
          <w:sz w:val="32"/>
          <w:szCs w:val="32"/>
        </w:rPr>
        <w:t>其中：一般公共预算拨款</w:t>
      </w:r>
      <w:r>
        <w:rPr>
          <w:rFonts w:hint="eastAsia" w:ascii="仿宋" w:hAnsi="仿宋" w:eastAsia="仿宋"/>
          <w:sz w:val="32"/>
          <w:szCs w:val="32"/>
          <w:lang w:val="en-US" w:eastAsia="zh-CN"/>
        </w:rPr>
        <w:t>58.28</w:t>
      </w:r>
      <w:r>
        <w:rPr>
          <w:rFonts w:hint="eastAsia" w:ascii="仿宋" w:hAnsi="仿宋" w:eastAsia="仿宋"/>
          <w:sz w:val="32"/>
          <w:szCs w:val="32"/>
        </w:rPr>
        <w:t>万元，基金预算财政拨款</w:t>
      </w:r>
      <w:r>
        <w:rPr>
          <w:rFonts w:hint="eastAsia" w:ascii="仿宋" w:hAnsi="仿宋" w:eastAsia="仿宋"/>
          <w:sz w:val="32"/>
          <w:szCs w:val="32"/>
          <w:lang w:val="en-US" w:eastAsia="zh-CN"/>
        </w:rPr>
        <w:t>0</w:t>
      </w:r>
      <w:r>
        <w:rPr>
          <w:rFonts w:hint="eastAsia" w:ascii="仿宋" w:hAnsi="仿宋" w:eastAsia="仿宋"/>
          <w:sz w:val="32"/>
          <w:szCs w:val="32"/>
        </w:rPr>
        <w:t>万元,财政专户拨款</w:t>
      </w:r>
      <w:r>
        <w:rPr>
          <w:rFonts w:hint="eastAsia" w:ascii="仿宋" w:hAnsi="仿宋" w:eastAsia="仿宋"/>
          <w:sz w:val="32"/>
          <w:szCs w:val="32"/>
          <w:lang w:val="en-US" w:eastAsia="zh-CN"/>
        </w:rPr>
        <w:t>0</w:t>
      </w:r>
      <w:r>
        <w:rPr>
          <w:rFonts w:hint="eastAsia" w:ascii="仿宋" w:hAnsi="仿宋" w:eastAsia="仿宋"/>
          <w:sz w:val="32"/>
          <w:szCs w:val="32"/>
        </w:rPr>
        <w:t>万元,其他收入</w:t>
      </w:r>
      <w:r>
        <w:rPr>
          <w:rFonts w:hint="eastAsia" w:ascii="仿宋" w:hAnsi="仿宋" w:eastAsia="仿宋"/>
          <w:sz w:val="32"/>
          <w:szCs w:val="32"/>
          <w:lang w:val="en-US" w:eastAsia="zh-CN"/>
        </w:rPr>
        <w:t>0</w:t>
      </w:r>
      <w:r>
        <w:rPr>
          <w:rFonts w:hint="eastAsia" w:ascii="仿宋" w:hAnsi="仿宋" w:eastAsia="仿宋"/>
          <w:sz w:val="32"/>
          <w:szCs w:val="32"/>
        </w:rPr>
        <w:t>万元,单位结余结转资金</w:t>
      </w:r>
      <w:r>
        <w:rPr>
          <w:rFonts w:hint="eastAsia" w:ascii="仿宋" w:hAnsi="仿宋" w:eastAsia="仿宋"/>
          <w:sz w:val="32"/>
          <w:szCs w:val="32"/>
          <w:lang w:val="en-US" w:eastAsia="zh-CN"/>
        </w:rPr>
        <w:t>0.00</w:t>
      </w:r>
      <w:r>
        <w:rPr>
          <w:rFonts w:hint="eastAsia" w:ascii="仿宋" w:hAnsi="仿宋" w:eastAsia="仿宋"/>
          <w:sz w:val="32"/>
          <w:szCs w:val="32"/>
        </w:rPr>
        <w:t>万元。相应安排支出预算</w:t>
      </w:r>
      <w:r>
        <w:rPr>
          <w:rFonts w:hint="eastAsia" w:ascii="仿宋" w:hAnsi="仿宋" w:eastAsia="仿宋"/>
          <w:sz w:val="32"/>
          <w:szCs w:val="32"/>
          <w:lang w:val="en-US" w:eastAsia="zh-CN"/>
        </w:rPr>
        <w:t>58.28</w:t>
      </w:r>
      <w:r>
        <w:rPr>
          <w:rFonts w:hint="eastAsia" w:ascii="仿宋" w:hAnsi="仿宋" w:eastAsia="仿宋"/>
          <w:sz w:val="32"/>
          <w:szCs w:val="32"/>
        </w:rPr>
        <w:t>万元，比上年增加</w:t>
      </w:r>
      <w:r>
        <w:rPr>
          <w:rFonts w:hint="eastAsia" w:ascii="仿宋" w:hAnsi="仿宋" w:eastAsia="仿宋"/>
          <w:sz w:val="32"/>
          <w:szCs w:val="32"/>
          <w:lang w:val="en-US" w:eastAsia="zh-CN"/>
        </w:rPr>
        <w:t>12.46</w:t>
      </w:r>
      <w:r>
        <w:rPr>
          <w:rFonts w:hint="eastAsia" w:ascii="仿宋" w:hAnsi="仿宋" w:eastAsia="仿宋"/>
          <w:sz w:val="32"/>
          <w:szCs w:val="32"/>
        </w:rPr>
        <w:t>万元，其中：人员支出</w:t>
      </w:r>
      <w:r>
        <w:rPr>
          <w:rFonts w:hint="eastAsia" w:ascii="仿宋" w:hAnsi="仿宋" w:eastAsia="仿宋"/>
          <w:sz w:val="32"/>
          <w:szCs w:val="32"/>
          <w:lang w:val="en-US" w:eastAsia="zh-CN"/>
        </w:rPr>
        <w:t>44.10</w:t>
      </w:r>
      <w:r>
        <w:rPr>
          <w:rFonts w:hint="eastAsia" w:ascii="仿宋" w:hAnsi="仿宋" w:eastAsia="仿宋"/>
          <w:sz w:val="32"/>
          <w:szCs w:val="32"/>
        </w:rPr>
        <w:t>万元，对个人和家庭补助支出</w:t>
      </w:r>
      <w:r>
        <w:rPr>
          <w:rFonts w:hint="eastAsia" w:ascii="仿宋" w:hAnsi="仿宋" w:eastAsia="仿宋"/>
          <w:sz w:val="32"/>
          <w:szCs w:val="32"/>
          <w:lang w:val="en-US" w:eastAsia="zh-CN"/>
        </w:rPr>
        <w:t>7.78</w:t>
      </w:r>
      <w:r>
        <w:rPr>
          <w:rFonts w:hint="eastAsia" w:ascii="仿宋" w:hAnsi="仿宋" w:eastAsia="仿宋"/>
          <w:sz w:val="32"/>
          <w:szCs w:val="32"/>
        </w:rPr>
        <w:t>万元，公用支出</w:t>
      </w:r>
      <w:r>
        <w:rPr>
          <w:rFonts w:hint="eastAsia" w:ascii="仿宋" w:hAnsi="仿宋" w:eastAsia="仿宋"/>
          <w:sz w:val="32"/>
          <w:szCs w:val="32"/>
          <w:lang w:val="en-US" w:eastAsia="zh-CN"/>
        </w:rPr>
        <w:t>6.40</w:t>
      </w:r>
      <w:r>
        <w:rPr>
          <w:rFonts w:hint="eastAsia" w:ascii="仿宋" w:hAnsi="仿宋" w:eastAsia="仿宋"/>
          <w:sz w:val="32"/>
          <w:szCs w:val="32"/>
        </w:rPr>
        <w:t>万元，项目支出</w:t>
      </w:r>
      <w:r>
        <w:rPr>
          <w:rFonts w:hint="eastAsia" w:ascii="仿宋" w:hAnsi="仿宋" w:eastAsia="仿宋"/>
          <w:sz w:val="32"/>
          <w:szCs w:val="32"/>
          <w:lang w:val="en-US" w:eastAsia="zh-CN"/>
        </w:rPr>
        <w:t>0.00</w:t>
      </w:r>
      <w:r>
        <w:rPr>
          <w:rFonts w:hint="eastAsia" w:ascii="仿宋" w:hAnsi="仿宋" w:eastAsia="仿宋"/>
          <w:sz w:val="32"/>
          <w:szCs w:val="32"/>
        </w:rPr>
        <w:t>万元。</w:t>
      </w: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二、一般公共预算拨款支出情况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lang w:val="en-US" w:eastAsia="zh-CN"/>
        </w:rPr>
        <w:t>2021</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58.28</w:t>
      </w:r>
      <w:r>
        <w:rPr>
          <w:rFonts w:hint="eastAsia" w:ascii="仿宋" w:hAnsi="仿宋" w:eastAsia="仿宋" w:cs="仿宋_GB2312"/>
          <w:sz w:val="32"/>
          <w:szCs w:val="32"/>
        </w:rPr>
        <w:t>万元</w:t>
      </w:r>
      <w:r>
        <w:rPr>
          <w:rFonts w:hint="eastAsia" w:ascii="仿宋" w:hAnsi="仿宋" w:eastAsia="仿宋"/>
          <w:sz w:val="32"/>
          <w:szCs w:val="32"/>
        </w:rPr>
        <w:t>，比上年</w:t>
      </w:r>
      <w:r>
        <w:rPr>
          <w:rFonts w:hint="eastAsia" w:ascii="仿宋" w:hAnsi="仿宋" w:eastAsia="仿宋"/>
          <w:sz w:val="32"/>
          <w:szCs w:val="32"/>
          <w:lang w:eastAsia="zh-CN"/>
        </w:rPr>
        <w:t>增加</w:t>
      </w:r>
      <w:r>
        <w:rPr>
          <w:rFonts w:hint="eastAsia" w:ascii="仿宋" w:hAnsi="仿宋" w:eastAsia="仿宋"/>
          <w:sz w:val="32"/>
          <w:szCs w:val="32"/>
          <w:lang w:val="en-US" w:eastAsia="zh-CN"/>
        </w:rPr>
        <w:t>12.46</w:t>
      </w:r>
      <w:r>
        <w:rPr>
          <w:rFonts w:hint="eastAsia" w:ascii="仿宋" w:hAnsi="仿宋" w:eastAsia="仿宋"/>
          <w:sz w:val="32"/>
          <w:szCs w:val="32"/>
        </w:rPr>
        <w:t>万元，主要原因是</w:t>
      </w:r>
      <w:r>
        <w:rPr>
          <w:rFonts w:hint="eastAsia" w:ascii="仿宋" w:hAnsi="仿宋" w:eastAsia="仿宋"/>
          <w:sz w:val="32"/>
          <w:szCs w:val="32"/>
          <w:lang w:eastAsia="zh-CN"/>
        </w:rPr>
        <w:t>基本支出增加</w:t>
      </w:r>
      <w:r>
        <w:rPr>
          <w:rFonts w:hint="eastAsia" w:ascii="仿宋" w:hAnsi="仿宋" w:eastAsia="仿宋" w:cs="仿宋_GB2312"/>
          <w:sz w:val="32"/>
          <w:szCs w:val="32"/>
        </w:rPr>
        <w:t>，主要支出项目(按项级科目分类统计)包括：</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w:t>
      </w:r>
      <w:r>
        <w:rPr>
          <w:rFonts w:hint="eastAsia" w:ascii="仿宋" w:hAnsi="仿宋" w:eastAsia="仿宋" w:cs="仿宋_GB2312"/>
          <w:sz w:val="32"/>
          <w:szCs w:val="32"/>
          <w:lang w:eastAsia="zh-CN"/>
        </w:rPr>
        <w:t>事业运行</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2010150</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58.28</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鼓楼区人大代表服务中心人员及日常工作事务</w:t>
      </w:r>
      <w:r>
        <w:rPr>
          <w:rFonts w:hint="eastAsia" w:ascii="仿宋" w:hAnsi="仿宋" w:eastAsia="仿宋" w:cs="仿宋_GB2312"/>
          <w:sz w:val="32"/>
          <w:szCs w:val="32"/>
        </w:rPr>
        <w:t>支出。</w:t>
      </w: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三、政府性基金预算拨款支出情况</w:t>
      </w:r>
    </w:p>
    <w:p>
      <w:pPr>
        <w:tabs>
          <w:tab w:val="left" w:pos="7513"/>
        </w:tabs>
        <w:adjustRightInd w:val="0"/>
        <w:snapToGrid w:val="0"/>
        <w:spacing w:line="60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本单位</w:t>
      </w:r>
      <w:r>
        <w:rPr>
          <w:rFonts w:hint="eastAsia" w:ascii="仿宋" w:hAnsi="仿宋" w:eastAsia="仿宋" w:cs="仿宋_GB2312"/>
          <w:sz w:val="32"/>
          <w:szCs w:val="32"/>
          <w:lang w:val="en-US" w:eastAsia="zh-CN"/>
        </w:rPr>
        <w:t>2021</w:t>
      </w:r>
      <w:r>
        <w:rPr>
          <w:rFonts w:hint="eastAsia" w:ascii="仿宋" w:hAnsi="仿宋" w:eastAsia="仿宋" w:cs="仿宋_GB2312"/>
          <w:sz w:val="32"/>
          <w:szCs w:val="32"/>
          <w:lang w:eastAsia="zh-CN"/>
        </w:rPr>
        <w:t>年度没有使用政府性基金预算拨款安排的支出。</w:t>
      </w: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四、财政拨款预算基本支出情况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2021</w:t>
      </w:r>
      <w:r>
        <w:rPr>
          <w:rFonts w:hint="eastAsia" w:ascii="仿宋" w:hAnsi="仿宋" w:eastAsia="仿宋" w:cs="仿宋_GB2312"/>
          <w:sz w:val="32"/>
          <w:szCs w:val="32"/>
        </w:rPr>
        <w:t>年度财政拨款基本支出</w:t>
      </w:r>
      <w:r>
        <w:rPr>
          <w:rFonts w:hint="eastAsia" w:ascii="仿宋" w:hAnsi="仿宋" w:eastAsia="仿宋" w:cs="仿宋_GB2312"/>
          <w:sz w:val="32"/>
          <w:szCs w:val="32"/>
          <w:lang w:val="en-US" w:eastAsia="zh-CN"/>
        </w:rPr>
        <w:t>58.28</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51.88</w:t>
      </w:r>
      <w:r>
        <w:rPr>
          <w:rFonts w:hint="eastAsia" w:ascii="仿宋" w:hAnsi="仿宋" w:eastAsia="仿宋"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6.40</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w:t>
      </w:r>
      <w:r>
        <w:rPr>
          <w:rFonts w:hint="eastAsia" w:ascii="仿宋" w:hAnsi="仿宋" w:eastAsia="仿宋" w:cs="仿宋_GB2312"/>
          <w:sz w:val="32"/>
          <w:szCs w:val="32"/>
          <w:lang w:eastAsia="zh-CN"/>
        </w:rPr>
        <w:t>、</w:t>
      </w:r>
      <w:r>
        <w:rPr>
          <w:rFonts w:hint="eastAsia" w:ascii="仿宋" w:hAnsi="仿宋" w:eastAsia="仿宋" w:cs="仿宋_GB2312"/>
          <w:sz w:val="32"/>
          <w:szCs w:val="32"/>
        </w:rPr>
        <w:t>工会经费、福利费、公务用车运行维护费、其他交通费用、税金及附加费用、其他商品和服务支出、办公设备购置、专用设备购置、信息网络及软件购置更新、其他资本性支出。</w:t>
      </w: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五、一般公共预算“三公”经费支出情况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2021年预算安排0.00万元。与上年持平，主要原因是：本年度无因公出国（境）计划。</w:t>
      </w:r>
    </w:p>
    <w:p>
      <w:pPr>
        <w:widowControl/>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2021年预算安排0.00万元。</w:t>
      </w:r>
      <w:r>
        <w:rPr>
          <w:rFonts w:hint="eastAsia" w:ascii="仿宋" w:hAnsi="仿宋" w:eastAsia="仿宋" w:cs="仿宋_GB2312"/>
          <w:sz w:val="32"/>
          <w:szCs w:val="32"/>
        </w:rPr>
        <w:t>与</w:t>
      </w:r>
      <w:r>
        <w:rPr>
          <w:rFonts w:hint="eastAsia" w:ascii="仿宋" w:hAnsi="仿宋" w:eastAsia="仿宋" w:cs="宋体"/>
          <w:bCs/>
          <w:sz w:val="32"/>
          <w:szCs w:val="32"/>
        </w:rPr>
        <w:t>上</w:t>
      </w:r>
      <w:r>
        <w:rPr>
          <w:rFonts w:hint="eastAsia" w:ascii="仿宋" w:hAnsi="仿宋" w:eastAsia="仿宋" w:cs="仿宋_GB2312"/>
          <w:sz w:val="32"/>
          <w:szCs w:val="32"/>
        </w:rPr>
        <w:t>年</w:t>
      </w:r>
      <w:r>
        <w:rPr>
          <w:rFonts w:hint="eastAsia" w:ascii="仿宋" w:hAnsi="仿宋" w:eastAsia="仿宋" w:cs="仿宋_GB2312"/>
          <w:kern w:val="0"/>
          <w:sz w:val="32"/>
          <w:szCs w:val="32"/>
          <w:lang w:val="en-US" w:eastAsia="zh-CN"/>
        </w:rPr>
        <w:t>持平，主要原因是：本年度无公务接待计划。</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widowControl/>
        <w:adjustRightInd w:val="0"/>
        <w:snapToGrid w:val="0"/>
        <w:spacing w:line="600" w:lineRule="exact"/>
        <w:ind w:firstLine="660"/>
        <w:rPr>
          <w:rFonts w:hint="eastAsia" w:ascii="仿宋" w:hAnsi="仿宋" w:eastAsia="仿宋" w:cs="仿宋_GB2312"/>
          <w:kern w:val="0"/>
          <w:sz w:val="32"/>
          <w:szCs w:val="32"/>
          <w:lang w:val="en-US" w:eastAsia="zh-CN"/>
        </w:rPr>
      </w:pPr>
      <w:r>
        <w:rPr>
          <w:rFonts w:hint="eastAsia" w:ascii="仿宋" w:hAnsi="仿宋" w:eastAsia="仿宋" w:cs="宋体"/>
          <w:kern w:val="0"/>
          <w:sz w:val="32"/>
          <w:szCs w:val="32"/>
        </w:rPr>
        <w:t xml:space="preserve"> </w:t>
      </w:r>
      <w:r>
        <w:rPr>
          <w:rFonts w:hint="eastAsia" w:ascii="仿宋" w:hAnsi="仿宋" w:eastAsia="仿宋" w:cs="仿宋_GB2312"/>
          <w:kern w:val="0"/>
          <w:sz w:val="32"/>
          <w:szCs w:val="32"/>
          <w:lang w:val="en-US" w:eastAsia="zh-CN"/>
        </w:rPr>
        <w:t>2021</w:t>
      </w:r>
      <w:r>
        <w:rPr>
          <w:rFonts w:hint="eastAsia" w:ascii="仿宋" w:hAnsi="仿宋" w:eastAsia="仿宋" w:cs="宋体"/>
          <w:kern w:val="0"/>
          <w:sz w:val="32"/>
          <w:szCs w:val="32"/>
        </w:rPr>
        <w:t>年预算安排</w:t>
      </w:r>
      <w:r>
        <w:rPr>
          <w:rFonts w:hint="eastAsia" w:ascii="仿宋" w:hAnsi="仿宋" w:eastAsia="仿宋" w:cs="宋体"/>
          <w:kern w:val="0"/>
          <w:sz w:val="32"/>
          <w:szCs w:val="32"/>
          <w:lang w:val="en-US" w:eastAsia="zh-CN"/>
        </w:rPr>
        <w:t>0</w:t>
      </w:r>
      <w:r>
        <w:rPr>
          <w:rFonts w:hint="eastAsia" w:ascii="仿宋" w:hAnsi="仿宋" w:eastAsia="仿宋" w:cs="仿宋_GB2312"/>
          <w:kern w:val="0"/>
          <w:sz w:val="32"/>
          <w:szCs w:val="32"/>
          <w:lang w:val="en-US" w:eastAsia="zh-CN"/>
        </w:rPr>
        <w:t>.00</w:t>
      </w:r>
      <w:r>
        <w:rPr>
          <w:rFonts w:hint="eastAsia" w:ascii="仿宋" w:hAnsi="仿宋" w:eastAsia="仿宋" w:cs="宋体"/>
          <w:kern w:val="0"/>
          <w:sz w:val="32"/>
          <w:szCs w:val="32"/>
        </w:rPr>
        <w:t>万元，其中：公车运行费</w:t>
      </w:r>
      <w:r>
        <w:rPr>
          <w:rFonts w:hint="eastAsia" w:ascii="仿宋" w:hAnsi="仿宋" w:eastAsia="仿宋" w:cs="宋体"/>
          <w:kern w:val="0"/>
          <w:sz w:val="32"/>
          <w:szCs w:val="32"/>
          <w:lang w:val="en-US" w:eastAsia="zh-CN"/>
        </w:rPr>
        <w:t>0</w:t>
      </w:r>
      <w:r>
        <w:rPr>
          <w:rFonts w:hint="eastAsia" w:ascii="仿宋" w:hAnsi="仿宋" w:eastAsia="仿宋" w:cs="仿宋_GB2312"/>
          <w:kern w:val="0"/>
          <w:sz w:val="32"/>
          <w:szCs w:val="32"/>
          <w:lang w:val="en-US" w:eastAsia="zh-CN"/>
        </w:rPr>
        <w:t>.00</w:t>
      </w:r>
      <w:r>
        <w:rPr>
          <w:rFonts w:hint="eastAsia" w:ascii="仿宋" w:hAnsi="仿宋" w:eastAsia="仿宋" w:cs="宋体"/>
          <w:kern w:val="0"/>
          <w:sz w:val="32"/>
          <w:szCs w:val="32"/>
        </w:rPr>
        <w:t>万元，公车购置费</w:t>
      </w:r>
      <w:r>
        <w:rPr>
          <w:rFonts w:hint="eastAsia" w:ascii="仿宋" w:hAnsi="仿宋" w:eastAsia="仿宋" w:cs="仿宋_GB2312"/>
          <w:kern w:val="0"/>
          <w:sz w:val="32"/>
          <w:szCs w:val="32"/>
          <w:lang w:val="en-US" w:eastAsia="zh-CN"/>
        </w:rPr>
        <w:t>0.00</w:t>
      </w:r>
      <w:r>
        <w:rPr>
          <w:rFonts w:hint="eastAsia" w:ascii="仿宋" w:hAnsi="仿宋" w:eastAsia="仿宋" w:cs="宋体"/>
          <w:kern w:val="0"/>
          <w:sz w:val="32"/>
          <w:szCs w:val="32"/>
        </w:rPr>
        <w:t>万元。</w:t>
      </w:r>
      <w:r>
        <w:rPr>
          <w:rFonts w:hint="eastAsia" w:ascii="仿宋" w:hAnsi="仿宋" w:eastAsia="仿宋" w:cs="仿宋_GB2312"/>
          <w:kern w:val="0"/>
          <w:sz w:val="32"/>
          <w:szCs w:val="32"/>
          <w:lang w:val="en-US" w:eastAsia="zh-CN"/>
        </w:rPr>
        <w:t>与上年持平，主要原因是：本单位无公务车辆及购置计划。</w:t>
      </w:r>
    </w:p>
    <w:p>
      <w:pPr>
        <w:adjustRightInd w:val="0"/>
        <w:snapToGrid w:val="0"/>
        <w:spacing w:line="600" w:lineRule="exact"/>
        <w:ind w:firstLine="640" w:firstLineChars="200"/>
        <w:rPr>
          <w:rFonts w:ascii="仿宋" w:hAnsi="仿宋" w:eastAsia="仿宋"/>
          <w:sz w:val="32"/>
          <w:szCs w:val="32"/>
          <w:highlight w:val="yellow"/>
        </w:rPr>
      </w:pPr>
    </w:p>
    <w:p>
      <w:pPr>
        <w:spacing w:line="600" w:lineRule="exact"/>
        <w:rPr>
          <w:rFonts w:ascii="仿宋" w:hAnsi="仿宋" w:eastAsia="仿宋"/>
          <w:b/>
          <w:sz w:val="32"/>
          <w:szCs w:val="32"/>
          <w:highlight w:val="none"/>
        </w:rPr>
      </w:pPr>
      <w:r>
        <w:rPr>
          <w:rFonts w:hint="eastAsia" w:ascii="仿宋" w:hAnsi="仿宋" w:eastAsia="仿宋"/>
          <w:b/>
          <w:sz w:val="32"/>
          <w:szCs w:val="32"/>
          <w:highlight w:val="none"/>
        </w:rPr>
        <w:t>六、预算绩效目标情况</w:t>
      </w:r>
    </w:p>
    <w:p>
      <w:pPr>
        <w:spacing w:line="590" w:lineRule="exact"/>
        <w:ind w:firstLine="640" w:firstLineChars="200"/>
        <w:rPr>
          <w:rFonts w:ascii="仿宋" w:hAnsi="仿宋" w:eastAsia="仿宋" w:cs="仿宋_GB2312"/>
          <w:sz w:val="32"/>
          <w:szCs w:val="32"/>
          <w:highlight w:val="none"/>
        </w:rPr>
      </w:pPr>
      <w:r>
        <w:rPr>
          <w:rFonts w:hint="eastAsia" w:ascii="楷体" w:hAnsi="楷体" w:eastAsia="楷体" w:cs="楷体"/>
          <w:kern w:val="0"/>
          <w:sz w:val="32"/>
          <w:szCs w:val="32"/>
          <w:highlight w:val="none"/>
        </w:rPr>
        <w:t>本单位无其他需要说明的绩效目标情况。</w:t>
      </w:r>
    </w:p>
    <w:p>
      <w:pPr>
        <w:spacing w:line="600" w:lineRule="exact"/>
        <w:rPr>
          <w:rFonts w:ascii="仿宋" w:hAnsi="仿宋" w:eastAsia="仿宋"/>
          <w:b/>
          <w:sz w:val="32"/>
          <w:szCs w:val="32"/>
        </w:rPr>
      </w:pPr>
      <w:r>
        <w:rPr>
          <w:rFonts w:hint="eastAsia" w:ascii="仿宋" w:hAnsi="仿宋" w:eastAsia="仿宋"/>
          <w:b/>
          <w:sz w:val="32"/>
          <w:szCs w:val="32"/>
        </w:rPr>
        <w:t>七、其他重要事项说明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黑体" w:hAnsi="黑体" w:eastAsia="黑体"/>
          <w:color w:val="FF0000"/>
          <w:sz w:val="32"/>
          <w:szCs w:val="32"/>
        </w:rPr>
      </w:pPr>
      <w:r>
        <w:rPr>
          <w:rFonts w:hint="eastAsia" w:ascii="仿宋" w:hAnsi="仿宋" w:eastAsia="仿宋"/>
          <w:sz w:val="32"/>
          <w:szCs w:val="32"/>
          <w:lang w:eastAsia="zh-CN"/>
        </w:rPr>
        <w:t>本单位为事业单位，无</w:t>
      </w:r>
      <w:r>
        <w:rPr>
          <w:rFonts w:hint="eastAsia" w:ascii="仿宋" w:hAnsi="仿宋" w:eastAsia="仿宋"/>
          <w:sz w:val="32"/>
          <w:szCs w:val="32"/>
        </w:rPr>
        <w:t>机关运行经费</w:t>
      </w:r>
      <w:r>
        <w:rPr>
          <w:rFonts w:hint="eastAsia" w:ascii="仿宋" w:hAnsi="仿宋" w:eastAsia="仿宋" w:cs="仿宋_GB2312"/>
          <w:sz w:val="32"/>
          <w:szCs w:val="32"/>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2021</w:t>
      </w:r>
      <w:r>
        <w:rPr>
          <w:rFonts w:hint="eastAsia" w:ascii="仿宋" w:hAnsi="仿宋" w:eastAsia="仿宋"/>
          <w:sz w:val="32"/>
          <w:szCs w:val="32"/>
        </w:rPr>
        <w:t>年</w:t>
      </w:r>
      <w:r>
        <w:rPr>
          <w:rFonts w:hint="eastAsia" w:ascii="仿宋" w:hAnsi="仿宋" w:eastAsia="仿宋" w:cs="仿宋_GB2312"/>
          <w:sz w:val="32"/>
          <w:szCs w:val="32"/>
          <w:lang w:eastAsia="zh-CN"/>
        </w:rPr>
        <w:t>福州市鼓楼区人大代表服务中心</w:t>
      </w:r>
      <w:r>
        <w:rPr>
          <w:rFonts w:hint="eastAsia" w:ascii="仿宋" w:hAnsi="仿宋" w:eastAsia="仿宋"/>
          <w:sz w:val="32"/>
          <w:szCs w:val="32"/>
        </w:rPr>
        <w:t>部门政府采购预算总额</w:t>
      </w:r>
      <w:r>
        <w:rPr>
          <w:rFonts w:hint="eastAsia" w:ascii="仿宋" w:hAnsi="仿宋" w:eastAsia="仿宋"/>
          <w:sz w:val="32"/>
          <w:szCs w:val="32"/>
          <w:lang w:val="en-US" w:eastAsia="zh-CN"/>
        </w:rPr>
        <w:t>0.00</w:t>
      </w:r>
      <w:r>
        <w:rPr>
          <w:rFonts w:hint="eastAsia" w:ascii="仿宋" w:hAnsi="仿宋" w:eastAsia="仿宋" w:cs="仿宋_GB2312"/>
          <w:kern w:val="0"/>
          <w:sz w:val="32"/>
          <w:szCs w:val="32"/>
        </w:rPr>
        <w:t>万元，其中：政府购买</w:t>
      </w:r>
      <w:r>
        <w:rPr>
          <w:rFonts w:hint="eastAsia" w:ascii="仿宋" w:hAnsi="仿宋" w:eastAsia="仿宋" w:cs="仿宋_GB2312"/>
          <w:kern w:val="0"/>
          <w:sz w:val="32"/>
          <w:szCs w:val="32"/>
          <w:lang w:eastAsia="zh-CN"/>
        </w:rPr>
        <w:t>货物预算</w:t>
      </w:r>
      <w:r>
        <w:rPr>
          <w:rFonts w:hint="eastAsia" w:ascii="仿宋" w:hAnsi="仿宋" w:eastAsia="仿宋" w:cs="仿宋_GB2312"/>
          <w:kern w:val="0"/>
          <w:sz w:val="32"/>
          <w:szCs w:val="32"/>
          <w:lang w:val="en-US" w:eastAsia="zh-CN"/>
        </w:rPr>
        <w:t>0.00万元、政府采购工程预算0.00万元、政府采购</w:t>
      </w:r>
      <w:r>
        <w:rPr>
          <w:rFonts w:hint="eastAsia" w:ascii="仿宋" w:hAnsi="仿宋" w:eastAsia="仿宋" w:cs="仿宋_GB2312"/>
          <w:kern w:val="0"/>
          <w:sz w:val="32"/>
          <w:szCs w:val="32"/>
        </w:rPr>
        <w:t>服务项目</w:t>
      </w:r>
      <w:r>
        <w:rPr>
          <w:rFonts w:hint="eastAsia" w:ascii="仿宋" w:hAnsi="仿宋" w:eastAsia="仿宋"/>
          <w:sz w:val="32"/>
          <w:szCs w:val="32"/>
        </w:rPr>
        <w:t>预算</w:t>
      </w:r>
      <w:r>
        <w:rPr>
          <w:rFonts w:hint="eastAsia" w:ascii="仿宋" w:hAnsi="仿宋" w:eastAsia="仿宋"/>
          <w:sz w:val="32"/>
          <w:szCs w:val="32"/>
          <w:lang w:val="en-US" w:eastAsia="zh-CN"/>
        </w:rPr>
        <w:t>0.00</w:t>
      </w:r>
      <w:r>
        <w:rPr>
          <w:rFonts w:hint="eastAsia" w:ascii="仿宋" w:hAnsi="仿宋" w:eastAsia="仿宋" w:cs="仿宋_GB2312"/>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2020</w:t>
      </w:r>
      <w:r>
        <w:rPr>
          <w:rFonts w:hint="eastAsia" w:ascii="仿宋" w:hAnsi="仿宋" w:eastAsia="仿宋" w:cs="仿宋_GB2312"/>
          <w:kern w:val="0"/>
          <w:sz w:val="32"/>
          <w:szCs w:val="32"/>
        </w:rPr>
        <w:t>年底，</w:t>
      </w:r>
      <w:r>
        <w:rPr>
          <w:rFonts w:hint="eastAsia" w:ascii="仿宋" w:hAnsi="仿宋" w:eastAsia="仿宋" w:cs="仿宋_GB2312"/>
          <w:sz w:val="32"/>
          <w:szCs w:val="32"/>
          <w:lang w:eastAsia="zh-CN"/>
        </w:rPr>
        <w:t>福州市鼓楼区人大代表服务中心</w:t>
      </w:r>
      <w:r>
        <w:rPr>
          <w:rFonts w:hint="eastAsia" w:ascii="仿宋" w:hAnsi="仿宋" w:eastAsia="仿宋"/>
          <w:sz w:val="32"/>
          <w:szCs w:val="32"/>
        </w:rPr>
        <w:t>部门本级及所属的预算单位共有车辆</w:t>
      </w:r>
      <w:r>
        <w:rPr>
          <w:rFonts w:hint="eastAsia" w:ascii="仿宋" w:hAnsi="仿宋" w:eastAsia="仿宋"/>
          <w:sz w:val="32"/>
          <w:szCs w:val="32"/>
          <w:lang w:val="en-US" w:eastAsia="zh-CN"/>
        </w:rPr>
        <w:t>0</w:t>
      </w:r>
      <w:r>
        <w:rPr>
          <w:rFonts w:hint="eastAsia" w:ascii="仿宋" w:hAnsi="仿宋" w:eastAsia="仿宋"/>
          <w:sz w:val="32"/>
          <w:szCs w:val="32"/>
        </w:rPr>
        <w:t>辆，其中：省部级领导干部用车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辆，一般公务用车</w:t>
      </w:r>
      <w:r>
        <w:rPr>
          <w:rFonts w:hint="eastAsia" w:ascii="仿宋" w:hAnsi="仿宋" w:eastAsia="仿宋"/>
          <w:sz w:val="32"/>
          <w:szCs w:val="32"/>
          <w:lang w:val="en-US" w:eastAsia="zh-CN"/>
        </w:rPr>
        <w:t>0</w:t>
      </w:r>
      <w:r>
        <w:rPr>
          <w:rFonts w:hint="eastAsia" w:ascii="仿宋" w:hAnsi="仿宋" w:eastAsia="仿宋"/>
          <w:sz w:val="32"/>
          <w:szCs w:val="32"/>
        </w:rPr>
        <w:t>辆，一般执法执勤用车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辆，特种专业技术用车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辆，其他用车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辆。单位价值50万元以上通用设备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r>
        <w:rPr>
          <w:rFonts w:hint="eastAsia" w:ascii="仿宋" w:hAnsi="仿宋" w:eastAsia="仿宋"/>
          <w:sz w:val="32"/>
          <w:szCs w:val="32"/>
        </w:rPr>
        <w:t>单位价值100万元以上专用设备</w:t>
      </w:r>
      <w:r>
        <w:rPr>
          <w:rFonts w:hint="eastAsia" w:ascii="仿宋" w:hAnsi="仿宋" w:eastAsia="仿宋"/>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pPr>
      <w:r>
        <w:rPr>
          <w:rFonts w:hint="eastAsia" w:asciiTheme="majorEastAsia" w:hAnsiTheme="majorEastAsia" w:eastAsiaTheme="majorEastAsia"/>
          <w:b/>
          <w:sz w:val="40"/>
        </w:rPr>
        <w:t>第四部分 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一、财政拨款收入：指财政当年拨付的资金。</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二、事业收入：指事业单位开展专业业务活动及辅助活动所取得的收入。</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三、经营收入：指事业单位在专业业务活动及其辅助活动之外开展非独立核算经营活动取得的收入。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四、其他收入：指除上述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等以外的收入。主要是按规定动用的售房收入、存款利息收入等。</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五、用事业基金弥补收支差额：指事业单位在当年的</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其他收入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color w:val="000000"/>
          <w:kern w:val="0"/>
          <w:sz w:val="32"/>
          <w:szCs w:val="32"/>
        </w:rPr>
        <w:t xml:space="preserve"> </w:t>
      </w:r>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六、年初结转和结余：指以前年度尚未完成、结转到本年按有关规定继续使用的资金。</w:t>
      </w:r>
    </w:p>
    <w:p>
      <w:pPr>
        <w:pStyle w:val="12"/>
        <w:spacing w:line="600" w:lineRule="exact"/>
        <w:ind w:firstLine="640" w:firstLineChars="200"/>
        <w:rPr>
          <w:rFonts w:hAnsi="仿宋"/>
          <w:sz w:val="32"/>
          <w:szCs w:val="32"/>
        </w:rPr>
      </w:pPr>
      <w:r>
        <w:rPr>
          <w:rFonts w:hint="eastAsia" w:hAnsi="仿宋"/>
          <w:sz w:val="32"/>
          <w:szCs w:val="32"/>
        </w:rPr>
        <w:t>七、结余分配：指事业单位按规定提取的职工福利基金、事业基金和缴纳的所得税，以及建设单位按规定应交回的基本建设竣工项目结余资金。</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八、年末结转和结余：指本年度或以前年度预算安排、因客观条件发生变化无法按原计划实施，需延迟到以后年度按有关规定继续使用的资金。</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九、基本支出：指为保障机构正常运转、完成日常工作任务而发生的人员支出和公用支出。</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十、项目支出：指在基本支出之外为完成特定行政任务和事业发展目标所发生的支出。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十一、经营支出：指事业单位在专业业务活动及其辅助活动之外开展非独立核算经营活动发生的支出。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十二、</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w:t>
      </w:r>
      <w:r>
        <w:rPr>
          <w:rFonts w:hAnsi="仿宋"/>
          <w:sz w:val="32"/>
          <w:szCs w:val="32"/>
        </w:rPr>
        <w:t xml:space="preserve"> </w:t>
      </w:r>
    </w:p>
    <w:p>
      <w:pPr>
        <w:ind w:firstLine="640" w:firstLineChars="200"/>
        <w:jc w:val="left"/>
      </w:pPr>
      <w:r>
        <w:rPr>
          <w:rFonts w:hint="eastAsia" w:ascii="仿宋" w:hAnsi="仿宋" w:eastAsia="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仿宋">
    <w:altName w:val="仿宋_GB2312"/>
    <w:panose1 w:val="02010609060101010101"/>
    <w:charset w:val="86"/>
    <w:family w:val="modern"/>
    <w:pitch w:val="default"/>
    <w:sig w:usb0="00000000" w:usb1="00000000"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Shruti">
    <w:panose1 w:val="02000500000000000000"/>
    <w:charset w:val="00"/>
    <w:family w:val="auto"/>
    <w:pitch w:val="default"/>
    <w:sig w:usb0="00040000" w:usb1="00000000" w:usb2="00000000" w:usb3="00000000" w:csb0="00000000" w:csb1="00000000"/>
  </w:font>
  <w:font w:name="仿宋">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6780272"/>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0"/>
    <w:rsid w:val="00026A39"/>
    <w:rsid w:val="00134215"/>
    <w:rsid w:val="0014464B"/>
    <w:rsid w:val="00162161"/>
    <w:rsid w:val="00167378"/>
    <w:rsid w:val="00244E2B"/>
    <w:rsid w:val="00247099"/>
    <w:rsid w:val="00317140"/>
    <w:rsid w:val="00353125"/>
    <w:rsid w:val="00445C9B"/>
    <w:rsid w:val="004D696A"/>
    <w:rsid w:val="005B00AC"/>
    <w:rsid w:val="006C4713"/>
    <w:rsid w:val="007244EC"/>
    <w:rsid w:val="00753E47"/>
    <w:rsid w:val="007C60CF"/>
    <w:rsid w:val="008071E4"/>
    <w:rsid w:val="00880C2D"/>
    <w:rsid w:val="009C7FB5"/>
    <w:rsid w:val="00A4118D"/>
    <w:rsid w:val="00A855BE"/>
    <w:rsid w:val="00C02DE3"/>
    <w:rsid w:val="00C7095D"/>
    <w:rsid w:val="00C72451"/>
    <w:rsid w:val="00CC6B40"/>
    <w:rsid w:val="00E05319"/>
    <w:rsid w:val="00E332A8"/>
    <w:rsid w:val="00FE6949"/>
    <w:rsid w:val="01F87B50"/>
    <w:rsid w:val="024A09BF"/>
    <w:rsid w:val="029300F0"/>
    <w:rsid w:val="02AF6F20"/>
    <w:rsid w:val="03172E86"/>
    <w:rsid w:val="033A2345"/>
    <w:rsid w:val="03AB6F25"/>
    <w:rsid w:val="042E463B"/>
    <w:rsid w:val="06782420"/>
    <w:rsid w:val="067F2F34"/>
    <w:rsid w:val="07962BFB"/>
    <w:rsid w:val="07F93424"/>
    <w:rsid w:val="08260A03"/>
    <w:rsid w:val="08E17528"/>
    <w:rsid w:val="08E7546F"/>
    <w:rsid w:val="09063B49"/>
    <w:rsid w:val="09175902"/>
    <w:rsid w:val="0973409D"/>
    <w:rsid w:val="0A5467E2"/>
    <w:rsid w:val="0A8A6264"/>
    <w:rsid w:val="0AA2035E"/>
    <w:rsid w:val="0AC05BA7"/>
    <w:rsid w:val="0AED34FF"/>
    <w:rsid w:val="0C222216"/>
    <w:rsid w:val="0CE242AF"/>
    <w:rsid w:val="0DDF2D02"/>
    <w:rsid w:val="0DF03AF9"/>
    <w:rsid w:val="0E723DD2"/>
    <w:rsid w:val="0EDF1468"/>
    <w:rsid w:val="0EED6599"/>
    <w:rsid w:val="0F3665A8"/>
    <w:rsid w:val="10271EF3"/>
    <w:rsid w:val="109E4810"/>
    <w:rsid w:val="10B63CBD"/>
    <w:rsid w:val="111F76F8"/>
    <w:rsid w:val="11543A90"/>
    <w:rsid w:val="12753410"/>
    <w:rsid w:val="128E5AB6"/>
    <w:rsid w:val="13115F03"/>
    <w:rsid w:val="13487663"/>
    <w:rsid w:val="136673C3"/>
    <w:rsid w:val="1367578D"/>
    <w:rsid w:val="141D5926"/>
    <w:rsid w:val="145301B0"/>
    <w:rsid w:val="14CE09D0"/>
    <w:rsid w:val="15076204"/>
    <w:rsid w:val="178B4013"/>
    <w:rsid w:val="181513F2"/>
    <w:rsid w:val="183C14C7"/>
    <w:rsid w:val="188A5689"/>
    <w:rsid w:val="18FE34BB"/>
    <w:rsid w:val="192D0AE0"/>
    <w:rsid w:val="197B7828"/>
    <w:rsid w:val="199B6810"/>
    <w:rsid w:val="19E02A4D"/>
    <w:rsid w:val="1AA964E3"/>
    <w:rsid w:val="1BC83E21"/>
    <w:rsid w:val="1C611560"/>
    <w:rsid w:val="1C6D7BCD"/>
    <w:rsid w:val="1CAE60BC"/>
    <w:rsid w:val="1CD33ADF"/>
    <w:rsid w:val="1D914EE2"/>
    <w:rsid w:val="1E88409F"/>
    <w:rsid w:val="1EF4456B"/>
    <w:rsid w:val="1F5B353F"/>
    <w:rsid w:val="1FEB26C2"/>
    <w:rsid w:val="20D8629D"/>
    <w:rsid w:val="21387DA8"/>
    <w:rsid w:val="21685B66"/>
    <w:rsid w:val="216B1E8F"/>
    <w:rsid w:val="2277763B"/>
    <w:rsid w:val="23127ABD"/>
    <w:rsid w:val="24380F34"/>
    <w:rsid w:val="24E83E4E"/>
    <w:rsid w:val="25980D39"/>
    <w:rsid w:val="25CE423A"/>
    <w:rsid w:val="26106C6C"/>
    <w:rsid w:val="270459DA"/>
    <w:rsid w:val="2742128B"/>
    <w:rsid w:val="27432D99"/>
    <w:rsid w:val="27607167"/>
    <w:rsid w:val="281B73BC"/>
    <w:rsid w:val="28754DD5"/>
    <w:rsid w:val="28A118ED"/>
    <w:rsid w:val="28DA3287"/>
    <w:rsid w:val="28E014AA"/>
    <w:rsid w:val="28E72B24"/>
    <w:rsid w:val="29FD4EAD"/>
    <w:rsid w:val="2AA26C48"/>
    <w:rsid w:val="2B3B103E"/>
    <w:rsid w:val="2BAE1393"/>
    <w:rsid w:val="2BCC203C"/>
    <w:rsid w:val="2BD876B6"/>
    <w:rsid w:val="2CAB29C5"/>
    <w:rsid w:val="2CD70A45"/>
    <w:rsid w:val="2CFC7F40"/>
    <w:rsid w:val="2DA34FF3"/>
    <w:rsid w:val="2FAE5AFC"/>
    <w:rsid w:val="304A36CA"/>
    <w:rsid w:val="32907FBA"/>
    <w:rsid w:val="32E31177"/>
    <w:rsid w:val="332E501E"/>
    <w:rsid w:val="33722D82"/>
    <w:rsid w:val="34585A6E"/>
    <w:rsid w:val="346875E4"/>
    <w:rsid w:val="346C592E"/>
    <w:rsid w:val="38801F33"/>
    <w:rsid w:val="38961146"/>
    <w:rsid w:val="39483982"/>
    <w:rsid w:val="39A167B8"/>
    <w:rsid w:val="39BC0DF1"/>
    <w:rsid w:val="39FB7DC1"/>
    <w:rsid w:val="3A2874F4"/>
    <w:rsid w:val="3A2F2B17"/>
    <w:rsid w:val="3A940ABE"/>
    <w:rsid w:val="3B037793"/>
    <w:rsid w:val="3CDE7933"/>
    <w:rsid w:val="3D6C40E7"/>
    <w:rsid w:val="3D804DCC"/>
    <w:rsid w:val="3EC77F06"/>
    <w:rsid w:val="3ED7116F"/>
    <w:rsid w:val="4014561B"/>
    <w:rsid w:val="40192D5A"/>
    <w:rsid w:val="40BF28EF"/>
    <w:rsid w:val="41534610"/>
    <w:rsid w:val="416B554C"/>
    <w:rsid w:val="41B21100"/>
    <w:rsid w:val="41FA6932"/>
    <w:rsid w:val="424448B5"/>
    <w:rsid w:val="42FA487C"/>
    <w:rsid w:val="43B30D01"/>
    <w:rsid w:val="44CF00B0"/>
    <w:rsid w:val="452C3EFB"/>
    <w:rsid w:val="4699132D"/>
    <w:rsid w:val="469E55DF"/>
    <w:rsid w:val="47DA286E"/>
    <w:rsid w:val="47E02769"/>
    <w:rsid w:val="4813537F"/>
    <w:rsid w:val="483E1924"/>
    <w:rsid w:val="484812FA"/>
    <w:rsid w:val="48E706A2"/>
    <w:rsid w:val="499009D7"/>
    <w:rsid w:val="49D557D7"/>
    <w:rsid w:val="4A3A1604"/>
    <w:rsid w:val="4B172F60"/>
    <w:rsid w:val="4C0A4F7F"/>
    <w:rsid w:val="4D424BF3"/>
    <w:rsid w:val="4E261E5A"/>
    <w:rsid w:val="4E567C8E"/>
    <w:rsid w:val="4F1B4122"/>
    <w:rsid w:val="4FA014E2"/>
    <w:rsid w:val="50081E97"/>
    <w:rsid w:val="504B2710"/>
    <w:rsid w:val="50761C85"/>
    <w:rsid w:val="50B563BC"/>
    <w:rsid w:val="511E2C25"/>
    <w:rsid w:val="51F60891"/>
    <w:rsid w:val="525F6795"/>
    <w:rsid w:val="548F1F72"/>
    <w:rsid w:val="558B45BF"/>
    <w:rsid w:val="5590761F"/>
    <w:rsid w:val="56071BC1"/>
    <w:rsid w:val="564A5886"/>
    <w:rsid w:val="56B01827"/>
    <w:rsid w:val="57A41603"/>
    <w:rsid w:val="57C33565"/>
    <w:rsid w:val="57D752D5"/>
    <w:rsid w:val="57F6677A"/>
    <w:rsid w:val="584F2EBF"/>
    <w:rsid w:val="586A071E"/>
    <w:rsid w:val="58796FDC"/>
    <w:rsid w:val="5919743D"/>
    <w:rsid w:val="59495586"/>
    <w:rsid w:val="59A8127E"/>
    <w:rsid w:val="59C42BC0"/>
    <w:rsid w:val="59D0314A"/>
    <w:rsid w:val="5A1C3342"/>
    <w:rsid w:val="5B0F2210"/>
    <w:rsid w:val="5B450D45"/>
    <w:rsid w:val="5B483B40"/>
    <w:rsid w:val="5B9E29FA"/>
    <w:rsid w:val="5BC95361"/>
    <w:rsid w:val="5BCD1176"/>
    <w:rsid w:val="5C340357"/>
    <w:rsid w:val="5D0347D0"/>
    <w:rsid w:val="5DAA43E4"/>
    <w:rsid w:val="5DAE2DEA"/>
    <w:rsid w:val="5DE26180"/>
    <w:rsid w:val="5E186A54"/>
    <w:rsid w:val="5E6D6C62"/>
    <w:rsid w:val="5EEB1A20"/>
    <w:rsid w:val="5F427FD8"/>
    <w:rsid w:val="5F5D1DA4"/>
    <w:rsid w:val="5F7F5FC2"/>
    <w:rsid w:val="5FA20DD8"/>
    <w:rsid w:val="60553066"/>
    <w:rsid w:val="60646DF8"/>
    <w:rsid w:val="607273DA"/>
    <w:rsid w:val="60963AC4"/>
    <w:rsid w:val="611B0B94"/>
    <w:rsid w:val="61556FFA"/>
    <w:rsid w:val="61836086"/>
    <w:rsid w:val="61CF7A79"/>
    <w:rsid w:val="62F433F0"/>
    <w:rsid w:val="63342E3F"/>
    <w:rsid w:val="638C1310"/>
    <w:rsid w:val="642C755D"/>
    <w:rsid w:val="64522F87"/>
    <w:rsid w:val="647A46A5"/>
    <w:rsid w:val="64A653EA"/>
    <w:rsid w:val="65610E9D"/>
    <w:rsid w:val="658E4525"/>
    <w:rsid w:val="66A3752D"/>
    <w:rsid w:val="66C05708"/>
    <w:rsid w:val="66F43BE3"/>
    <w:rsid w:val="68F70348"/>
    <w:rsid w:val="68F94C70"/>
    <w:rsid w:val="697D22C6"/>
    <w:rsid w:val="698872FB"/>
    <w:rsid w:val="699C1CA1"/>
    <w:rsid w:val="69BD469D"/>
    <w:rsid w:val="69D76C60"/>
    <w:rsid w:val="69E233D4"/>
    <w:rsid w:val="6B48396B"/>
    <w:rsid w:val="6D724207"/>
    <w:rsid w:val="6DA64388"/>
    <w:rsid w:val="6E066B15"/>
    <w:rsid w:val="6E08227B"/>
    <w:rsid w:val="6F1A18D1"/>
    <w:rsid w:val="705F37AB"/>
    <w:rsid w:val="70D95921"/>
    <w:rsid w:val="712C3123"/>
    <w:rsid w:val="72DB538C"/>
    <w:rsid w:val="72EA27C9"/>
    <w:rsid w:val="74327C75"/>
    <w:rsid w:val="74606DF1"/>
    <w:rsid w:val="749E6D52"/>
    <w:rsid w:val="74AC3C60"/>
    <w:rsid w:val="74FC4229"/>
    <w:rsid w:val="75510390"/>
    <w:rsid w:val="755D1C10"/>
    <w:rsid w:val="757A3B88"/>
    <w:rsid w:val="75C81429"/>
    <w:rsid w:val="777C564C"/>
    <w:rsid w:val="77E82779"/>
    <w:rsid w:val="77FC66E9"/>
    <w:rsid w:val="78AB42E6"/>
    <w:rsid w:val="78E025D8"/>
    <w:rsid w:val="79992563"/>
    <w:rsid w:val="7A714BEA"/>
    <w:rsid w:val="7BC64DFF"/>
    <w:rsid w:val="7BF5797F"/>
    <w:rsid w:val="7C3D36D1"/>
    <w:rsid w:val="7D7E5644"/>
    <w:rsid w:val="7EB14D1A"/>
    <w:rsid w:val="7ED40946"/>
    <w:rsid w:val="7F026B86"/>
    <w:rsid w:val="7FAE0AE9"/>
    <w:rsid w:val="7FF2697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Balloon Text"/>
    <w:basedOn w:val="1"/>
    <w:link w:val="11"/>
    <w:unhideWhenUsed/>
    <w:qFormat/>
    <w:uiPriority w:val="99"/>
    <w:pPr>
      <w:spacing w:line="240" w:lineRule="auto"/>
    </w:pPr>
    <w:rPr>
      <w:sz w:val="18"/>
      <w:szCs w:val="18"/>
    </w:rPr>
  </w:style>
  <w:style w:type="paragraph" w:styleId="4">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正文文本 Char"/>
    <w:basedOn w:val="6"/>
    <w:link w:val="2"/>
    <w:qFormat/>
    <w:uiPriority w:val="1"/>
    <w:rPr>
      <w:rFonts w:ascii="Times New Roman" w:hAnsi="Times New Roman" w:eastAsia="Times New Roman" w:cs="Times New Roman"/>
      <w:kern w:val="0"/>
      <w:sz w:val="20"/>
      <w:szCs w:val="20"/>
      <w:lang w:eastAsia="en-US"/>
    </w:rPr>
  </w:style>
  <w:style w:type="character" w:customStyle="1" w:styleId="11">
    <w:name w:val="批注框文本 Char"/>
    <w:basedOn w:val="6"/>
    <w:link w:val="3"/>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2102</Words>
  <Characters>2230</Characters>
  <Lines>278</Lines>
  <Paragraphs>196</Paragraphs>
  <ScaleCrop>false</ScaleCrop>
  <LinksUpToDate>false</LinksUpToDate>
  <CharactersWithSpaces>4136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Administrator</cp:lastModifiedBy>
  <dcterms:modified xsi:type="dcterms:W3CDTF">2021-03-01T06:39:18Z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