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黑体" w:hAnsi="黑体" w:eastAsia="黑体" w:cs="黑体"/>
          <w:color w:val="000000"/>
          <w:sz w:val="32"/>
          <w:szCs w:val="32"/>
          <w:highlight w:val="none"/>
        </w:rPr>
      </w:pPr>
      <w:bookmarkStart w:id="0" w:name="_GoBack"/>
      <w:bookmarkEnd w:id="0"/>
      <w:r>
        <w:rPr>
          <w:rFonts w:hint="eastAsia" w:ascii="黑体" w:hAnsi="黑体" w:eastAsia="黑体" w:cs="黑体"/>
          <w:color w:val="000000"/>
          <w:sz w:val="32"/>
          <w:szCs w:val="32"/>
          <w:highlight w:val="none"/>
        </w:rPr>
        <w:t>附件</w:t>
      </w:r>
    </w:p>
    <w:p>
      <w:pPr>
        <w:spacing w:line="540" w:lineRule="exact"/>
        <w:jc w:val="center"/>
        <w:rPr>
          <w:rFonts w:hint="eastAsia" w:ascii="方正小标宋简体" w:hAnsi="方正小标宋简体" w:eastAsia="方正小标宋简体" w:cs="方正小标宋简体"/>
          <w:b w:val="0"/>
          <w:bCs/>
          <w:color w:val="00000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color w:val="000000"/>
          <w:sz w:val="44"/>
          <w:szCs w:val="44"/>
          <w:highlight w:val="none"/>
        </w:rPr>
      </w:pPr>
      <w:r>
        <w:rPr>
          <w:rFonts w:hint="eastAsia" w:ascii="方正小标宋简体" w:hAnsi="方正小标宋简体" w:eastAsia="方正小标宋简体" w:cs="方正小标宋简体"/>
          <w:b w:val="0"/>
          <w:bCs/>
          <w:color w:val="000000"/>
          <w:sz w:val="44"/>
          <w:szCs w:val="44"/>
          <w:highlight w:val="none"/>
          <w:lang w:eastAsia="zh-CN"/>
        </w:rPr>
        <w:t>鼓楼区</w:t>
      </w:r>
      <w:r>
        <w:rPr>
          <w:rFonts w:hint="eastAsia" w:ascii="方正小标宋简体" w:hAnsi="方正小标宋简体" w:eastAsia="方正小标宋简体" w:cs="方正小标宋简体"/>
          <w:b w:val="0"/>
          <w:bCs/>
          <w:color w:val="000000"/>
          <w:sz w:val="44"/>
          <w:szCs w:val="44"/>
          <w:highlight w:val="none"/>
        </w:rPr>
        <w:t>老年健康服务体系</w:t>
      </w:r>
      <w:r>
        <w:rPr>
          <w:rFonts w:hint="eastAsia" w:ascii="方正小标宋简体" w:hAnsi="方正小标宋简体" w:eastAsia="方正小标宋简体" w:cs="方正小标宋简体"/>
          <w:b w:val="0"/>
          <w:bCs/>
          <w:color w:val="000000"/>
          <w:sz w:val="44"/>
          <w:szCs w:val="44"/>
          <w:highlight w:val="none"/>
          <w:lang w:eastAsia="zh-CN"/>
        </w:rPr>
        <w:t>工作任务</w:t>
      </w:r>
      <w:r>
        <w:rPr>
          <w:rFonts w:hint="eastAsia" w:ascii="方正小标宋简体" w:hAnsi="方正小标宋简体" w:eastAsia="方正小标宋简体" w:cs="方正小标宋简体"/>
          <w:b w:val="0"/>
          <w:bCs/>
          <w:color w:val="000000"/>
          <w:sz w:val="44"/>
          <w:szCs w:val="44"/>
          <w:highlight w:val="none"/>
        </w:rPr>
        <w:t>分解表</w:t>
      </w:r>
    </w:p>
    <w:tbl>
      <w:tblPr>
        <w:tblStyle w:val="8"/>
        <w:tblpPr w:leftFromText="180" w:rightFromText="180" w:vertAnchor="text" w:horzAnchor="page" w:tblpXSpec="center" w:tblpY="742"/>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2"/>
        <w:gridCol w:w="4869"/>
        <w:gridCol w:w="1200"/>
        <w:gridCol w:w="954"/>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83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000000"/>
                <w:spacing w:val="-6"/>
                <w:sz w:val="32"/>
                <w:szCs w:val="32"/>
                <w:highlight w:val="none"/>
              </w:rPr>
            </w:pPr>
            <w:r>
              <w:rPr>
                <w:rFonts w:hint="default" w:ascii="Times New Roman" w:hAnsi="Times New Roman" w:eastAsia="黑体" w:cs="Times New Roman"/>
                <w:b w:val="0"/>
                <w:i w:val="0"/>
                <w:caps w:val="0"/>
                <w:color w:val="000000"/>
                <w:spacing w:val="-6"/>
                <w:kern w:val="0"/>
                <w:sz w:val="24"/>
                <w:szCs w:val="24"/>
                <w:highlight w:val="none"/>
                <w:lang w:val="en-US" w:eastAsia="zh-CN" w:bidi="ar-SA"/>
              </w:rPr>
              <w:t>序号</w:t>
            </w:r>
          </w:p>
        </w:tc>
        <w:tc>
          <w:tcPr>
            <w:tcW w:w="486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000000"/>
                <w:spacing w:val="-6"/>
                <w:sz w:val="32"/>
                <w:szCs w:val="32"/>
                <w:highlight w:val="none"/>
              </w:rPr>
            </w:pPr>
            <w:r>
              <w:rPr>
                <w:rFonts w:hint="default" w:ascii="Times New Roman" w:hAnsi="Times New Roman" w:eastAsia="黑体" w:cs="Times New Roman"/>
                <w:b w:val="0"/>
                <w:i w:val="0"/>
                <w:caps w:val="0"/>
                <w:color w:val="000000"/>
                <w:spacing w:val="-6"/>
                <w:kern w:val="0"/>
                <w:sz w:val="24"/>
                <w:szCs w:val="24"/>
                <w:highlight w:val="none"/>
                <w:lang w:val="en-US" w:eastAsia="zh-CN" w:bidi="ar-SA"/>
              </w:rPr>
              <w:t>工作任务</w:t>
            </w:r>
          </w:p>
        </w:tc>
        <w:tc>
          <w:tcPr>
            <w:tcW w:w="1200"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000000"/>
                <w:spacing w:val="-6"/>
                <w:sz w:val="32"/>
                <w:szCs w:val="32"/>
                <w:highlight w:val="none"/>
              </w:rPr>
            </w:pPr>
            <w:r>
              <w:rPr>
                <w:rFonts w:hint="default" w:ascii="Times New Roman" w:hAnsi="Times New Roman" w:eastAsia="黑体" w:cs="Times New Roman"/>
                <w:b w:val="0"/>
                <w:i w:val="0"/>
                <w:caps w:val="0"/>
                <w:color w:val="000000"/>
                <w:spacing w:val="-6"/>
                <w:kern w:val="0"/>
                <w:sz w:val="24"/>
                <w:szCs w:val="24"/>
                <w:highlight w:val="none"/>
                <w:lang w:val="en-US" w:eastAsia="zh-CN" w:bidi="ar-SA"/>
              </w:rPr>
              <w:t>完成时限</w:t>
            </w:r>
          </w:p>
        </w:tc>
        <w:tc>
          <w:tcPr>
            <w:tcW w:w="954"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000000"/>
                <w:spacing w:val="-6"/>
                <w:sz w:val="32"/>
                <w:szCs w:val="32"/>
                <w:highlight w:val="none"/>
              </w:rPr>
            </w:pPr>
            <w:r>
              <w:rPr>
                <w:rFonts w:hint="default" w:ascii="Times New Roman" w:hAnsi="Times New Roman" w:eastAsia="黑体" w:cs="Times New Roman"/>
                <w:b w:val="0"/>
                <w:i w:val="0"/>
                <w:caps w:val="0"/>
                <w:color w:val="000000"/>
                <w:spacing w:val="-6"/>
                <w:kern w:val="0"/>
                <w:sz w:val="24"/>
                <w:szCs w:val="24"/>
                <w:highlight w:val="none"/>
                <w:lang w:val="en-US" w:eastAsia="zh-CN" w:bidi="ar-SA"/>
              </w:rPr>
              <w:t>属性</w:t>
            </w:r>
          </w:p>
        </w:tc>
        <w:tc>
          <w:tcPr>
            <w:tcW w:w="1805"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default" w:ascii="Times New Roman" w:hAnsi="Times New Roman" w:cs="Times New Roman"/>
                <w:color w:val="000000"/>
                <w:spacing w:val="-6"/>
                <w:sz w:val="32"/>
                <w:szCs w:val="32"/>
                <w:highlight w:val="none"/>
              </w:rPr>
            </w:pPr>
            <w:r>
              <w:rPr>
                <w:rFonts w:hint="default" w:ascii="Times New Roman" w:hAnsi="Times New Roman" w:eastAsia="黑体" w:cs="Times New Roman"/>
                <w:b w:val="0"/>
                <w:i w:val="0"/>
                <w:caps w:val="0"/>
                <w:color w:val="000000"/>
                <w:spacing w:val="-6"/>
                <w:kern w:val="0"/>
                <w:sz w:val="24"/>
                <w:szCs w:val="24"/>
                <w:highlight w:val="none"/>
                <w:lang w:val="en-US" w:eastAsia="zh-CN" w:bidi="ar-SA"/>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83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1</w:t>
            </w:r>
          </w:p>
        </w:tc>
        <w:tc>
          <w:tcPr>
            <w:tcW w:w="486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加强健康教育宣传力度，利用多种方式和媒体媒介，开展健康宣传教育，宣传老年健康科学知识和相关政策，营造关心支持老年健康的社会氛围。</w:t>
            </w:r>
          </w:p>
        </w:tc>
        <w:tc>
          <w:tcPr>
            <w:tcW w:w="120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持续推进</w:t>
            </w:r>
          </w:p>
        </w:tc>
        <w:tc>
          <w:tcPr>
            <w:tcW w:w="9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约束性</w:t>
            </w:r>
          </w:p>
        </w:tc>
        <w:tc>
          <w:tcPr>
            <w:tcW w:w="18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区卫健局、区委宣传部、各街镇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10" w:hRule="atLeast"/>
          <w:jc w:val="center"/>
        </w:trPr>
        <w:tc>
          <w:tcPr>
            <w:tcW w:w="83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2</w:t>
            </w:r>
          </w:p>
        </w:tc>
        <w:tc>
          <w:tcPr>
            <w:tcW w:w="486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鼓楼区至少建有1所老年大学，十街镇各建有1所老年学校，90％以上的社区建有老年学习中心，将健康教育100%纳入老年大学及社区老年教育课程内容。</w:t>
            </w:r>
          </w:p>
        </w:tc>
        <w:tc>
          <w:tcPr>
            <w:tcW w:w="120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2022年</w:t>
            </w:r>
          </w:p>
        </w:tc>
        <w:tc>
          <w:tcPr>
            <w:tcW w:w="9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约束性</w:t>
            </w:r>
          </w:p>
        </w:tc>
        <w:tc>
          <w:tcPr>
            <w:tcW w:w="18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i w:val="0"/>
                <w:caps w:val="0"/>
                <w:color w:val="000000"/>
                <w:spacing w:val="-6"/>
                <w:kern w:val="0"/>
                <w:sz w:val="24"/>
                <w:szCs w:val="24"/>
                <w:highlight w:val="none"/>
                <w:lang w:val="en-US" w:eastAsia="zh-CN" w:bidi="ar-SA"/>
              </w:rPr>
            </w:pPr>
            <w:r>
              <w:rPr>
                <w:rFonts w:hint="eastAsia" w:ascii="仿宋_GB2312" w:hAnsi="仿宋_GB2312" w:eastAsia="仿宋_GB2312" w:cs="仿宋_GB2312"/>
                <w:i w:val="0"/>
                <w:caps w:val="0"/>
                <w:color w:val="000000"/>
                <w:spacing w:val="-6"/>
                <w:kern w:val="0"/>
                <w:sz w:val="24"/>
                <w:szCs w:val="24"/>
                <w:highlight w:val="none"/>
                <w:lang w:val="en-US" w:eastAsia="zh-CN" w:bidi="ar-SA"/>
              </w:rPr>
              <w:t>区委老干局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lang w:eastAsia="zh-CN"/>
              </w:rPr>
            </w:pPr>
            <w:r>
              <w:rPr>
                <w:rFonts w:hint="eastAsia" w:ascii="仿宋_GB2312" w:hAnsi="仿宋_GB2312" w:eastAsia="仿宋_GB2312" w:cs="仿宋_GB2312"/>
                <w:i w:val="0"/>
                <w:caps w:val="0"/>
                <w:color w:val="000000"/>
                <w:spacing w:val="-6"/>
                <w:kern w:val="0"/>
                <w:sz w:val="24"/>
                <w:szCs w:val="24"/>
                <w:highlight w:val="none"/>
                <w:lang w:val="en-US" w:eastAsia="zh-CN" w:bidi="ar-SA"/>
              </w:rPr>
              <w:t>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83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3</w:t>
            </w:r>
          </w:p>
        </w:tc>
        <w:tc>
          <w:tcPr>
            <w:tcW w:w="486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实现我区100%街镇和社区建立老体协组织，人均体育场地面积期望达到1.5平方米，创编、推广、普及老年人喜爱的体育健身项目达到43项。</w:t>
            </w:r>
          </w:p>
        </w:tc>
        <w:tc>
          <w:tcPr>
            <w:tcW w:w="120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2022年</w:t>
            </w:r>
          </w:p>
        </w:tc>
        <w:tc>
          <w:tcPr>
            <w:tcW w:w="9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预期性</w:t>
            </w:r>
          </w:p>
        </w:tc>
        <w:tc>
          <w:tcPr>
            <w:tcW w:w="18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i w:val="0"/>
                <w:caps w:val="0"/>
                <w:color w:val="000000"/>
                <w:spacing w:val="-6"/>
                <w:kern w:val="0"/>
                <w:sz w:val="24"/>
                <w:szCs w:val="24"/>
                <w:highlight w:val="none"/>
                <w:lang w:val="en-US" w:eastAsia="zh-CN" w:bidi="ar-SA"/>
              </w:rPr>
            </w:pPr>
            <w:r>
              <w:rPr>
                <w:rFonts w:hint="eastAsia" w:ascii="仿宋_GB2312" w:hAnsi="仿宋_GB2312" w:eastAsia="仿宋_GB2312" w:cs="仿宋_GB2312"/>
                <w:i w:val="0"/>
                <w:caps w:val="0"/>
                <w:color w:val="000000"/>
                <w:spacing w:val="-6"/>
                <w:kern w:val="0"/>
                <w:sz w:val="24"/>
                <w:szCs w:val="24"/>
                <w:highlight w:val="none"/>
                <w:lang w:val="en-US" w:eastAsia="zh-CN" w:bidi="ar-SA"/>
              </w:rPr>
              <w:t>区文体旅局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各街镇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0" w:hRule="atLeast"/>
          <w:jc w:val="center"/>
        </w:trPr>
        <w:tc>
          <w:tcPr>
            <w:tcW w:w="83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4</w:t>
            </w:r>
          </w:p>
        </w:tc>
        <w:tc>
          <w:tcPr>
            <w:tcW w:w="486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实施老年健康预防干预措施，开展集慢性病预防、风险评估、跟踪随访、干预指导于一体的健康管理服务；建立健全老年健康危险因素干预、疾病早发现早诊断早治疗、失能预防的三级预防机制。</w:t>
            </w:r>
          </w:p>
        </w:tc>
        <w:tc>
          <w:tcPr>
            <w:tcW w:w="120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持续推进</w:t>
            </w:r>
          </w:p>
        </w:tc>
        <w:tc>
          <w:tcPr>
            <w:tcW w:w="9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约束性</w:t>
            </w:r>
          </w:p>
        </w:tc>
        <w:tc>
          <w:tcPr>
            <w:tcW w:w="18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05" w:hRule="atLeast"/>
          <w:jc w:val="center"/>
        </w:trPr>
        <w:tc>
          <w:tcPr>
            <w:tcW w:w="83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5</w:t>
            </w:r>
          </w:p>
        </w:tc>
        <w:tc>
          <w:tcPr>
            <w:tcW w:w="486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将老年人健康管理与医养结合服务作为我区基本公共卫生服务项目绩效评价的重要内容。做细做实老年人家庭医生签约服务，将失能老年人作为家庭医生签约服务重点人群，拓展签约服务内涵，注重签约服务效果，不断提升签约服务满意度。</w:t>
            </w:r>
          </w:p>
        </w:tc>
        <w:tc>
          <w:tcPr>
            <w:tcW w:w="120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持续推进</w:t>
            </w:r>
          </w:p>
        </w:tc>
        <w:tc>
          <w:tcPr>
            <w:tcW w:w="9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约束性</w:t>
            </w:r>
          </w:p>
        </w:tc>
        <w:tc>
          <w:tcPr>
            <w:tcW w:w="18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i w:val="0"/>
                <w:caps w:val="0"/>
                <w:color w:val="000000"/>
                <w:spacing w:val="-6"/>
                <w:kern w:val="0"/>
                <w:sz w:val="24"/>
                <w:szCs w:val="24"/>
                <w:highlight w:val="none"/>
                <w:lang w:val="en-US" w:eastAsia="zh-CN" w:bidi="ar-SA"/>
              </w:rPr>
            </w:pPr>
            <w:r>
              <w:rPr>
                <w:rFonts w:hint="eastAsia" w:ascii="仿宋_GB2312" w:hAnsi="仿宋_GB2312" w:eastAsia="仿宋_GB2312" w:cs="仿宋_GB2312"/>
                <w:i w:val="0"/>
                <w:caps w:val="0"/>
                <w:color w:val="000000"/>
                <w:spacing w:val="-6"/>
                <w:kern w:val="0"/>
                <w:sz w:val="24"/>
                <w:szCs w:val="24"/>
                <w:highlight w:val="none"/>
                <w:lang w:val="en-US" w:eastAsia="zh-CN" w:bidi="ar-SA"/>
              </w:rPr>
              <w:t>区卫健局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十街镇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60" w:hRule="atLeast"/>
          <w:jc w:val="center"/>
        </w:trPr>
        <w:tc>
          <w:tcPr>
            <w:tcW w:w="83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6</w:t>
            </w:r>
          </w:p>
        </w:tc>
        <w:tc>
          <w:tcPr>
            <w:tcW w:w="486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完善医疗护理员职业教育和培训体系，鼓励城镇登记失业人员、贫困劳动力等人员参加医疗护理员培训。开展老年健康相关的职业技能人才评价工作和以技术技能价值激励为导向的薪酬分配体系，拓宽职业发展前景。</w:t>
            </w:r>
          </w:p>
        </w:tc>
        <w:tc>
          <w:tcPr>
            <w:tcW w:w="120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持续推进</w:t>
            </w:r>
          </w:p>
        </w:tc>
        <w:tc>
          <w:tcPr>
            <w:tcW w:w="9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预期性</w:t>
            </w:r>
          </w:p>
        </w:tc>
        <w:tc>
          <w:tcPr>
            <w:tcW w:w="18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i w:val="0"/>
                <w:caps w:val="0"/>
                <w:color w:val="000000"/>
                <w:spacing w:val="-6"/>
                <w:kern w:val="0"/>
                <w:sz w:val="24"/>
                <w:szCs w:val="24"/>
                <w:highlight w:val="none"/>
                <w:lang w:val="en-US" w:eastAsia="zh-CN" w:bidi="ar-SA"/>
              </w:rPr>
            </w:pPr>
            <w:r>
              <w:rPr>
                <w:rFonts w:hint="eastAsia" w:ascii="仿宋_GB2312" w:hAnsi="仿宋_GB2312" w:eastAsia="仿宋_GB2312" w:cs="仿宋_GB2312"/>
                <w:i w:val="0"/>
                <w:caps w:val="0"/>
                <w:color w:val="000000"/>
                <w:spacing w:val="-6"/>
                <w:kern w:val="0"/>
                <w:sz w:val="24"/>
                <w:szCs w:val="24"/>
                <w:highlight w:val="none"/>
                <w:lang w:val="en-US" w:eastAsia="zh-CN" w:bidi="ar-SA"/>
              </w:rPr>
              <w:t>区人社局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jc w:val="center"/>
        </w:trPr>
        <w:tc>
          <w:tcPr>
            <w:tcW w:w="832"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7</w:t>
            </w:r>
          </w:p>
        </w:tc>
        <w:tc>
          <w:tcPr>
            <w:tcW w:w="486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left"/>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2022年我区80％以上的基层医疗卫生机构成为老年友善医疗卫生机构。</w:t>
            </w:r>
          </w:p>
        </w:tc>
        <w:tc>
          <w:tcPr>
            <w:tcW w:w="1200"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2022年</w:t>
            </w:r>
          </w:p>
        </w:tc>
        <w:tc>
          <w:tcPr>
            <w:tcW w:w="954"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约束性</w:t>
            </w:r>
          </w:p>
        </w:tc>
        <w:tc>
          <w:tcPr>
            <w:tcW w:w="180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jc w:val="center"/>
        </w:trPr>
        <w:tc>
          <w:tcPr>
            <w:tcW w:w="832"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8</w:t>
            </w:r>
          </w:p>
        </w:tc>
        <w:tc>
          <w:tcPr>
            <w:tcW w:w="4869"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家庭病床服务基层医疗机构覆盖率达50%以上；基层医疗卫生机构护理床位占比达到30％。</w:t>
            </w:r>
          </w:p>
        </w:tc>
        <w:tc>
          <w:tcPr>
            <w:tcW w:w="12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2022年</w:t>
            </w:r>
          </w:p>
        </w:tc>
        <w:tc>
          <w:tcPr>
            <w:tcW w:w="95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预期性</w:t>
            </w:r>
          </w:p>
        </w:tc>
        <w:tc>
          <w:tcPr>
            <w:tcW w:w="180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i w:val="0"/>
                <w:caps w:val="0"/>
                <w:color w:val="000000"/>
                <w:spacing w:val="-6"/>
                <w:kern w:val="0"/>
                <w:sz w:val="24"/>
                <w:szCs w:val="24"/>
                <w:highlight w:val="none"/>
                <w:lang w:val="en-US" w:eastAsia="zh-CN" w:bidi="ar-SA"/>
              </w:rPr>
            </w:pPr>
            <w:r>
              <w:rPr>
                <w:rFonts w:hint="eastAsia" w:ascii="仿宋_GB2312" w:hAnsi="仿宋_GB2312" w:eastAsia="仿宋_GB2312" w:cs="仿宋_GB2312"/>
                <w:i w:val="0"/>
                <w:caps w:val="0"/>
                <w:color w:val="000000"/>
                <w:spacing w:val="-6"/>
                <w:kern w:val="0"/>
                <w:sz w:val="24"/>
                <w:szCs w:val="24"/>
                <w:highlight w:val="none"/>
                <w:lang w:val="en-US" w:eastAsia="zh-CN" w:bidi="ar-SA"/>
              </w:rPr>
              <w:t>区卫健局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color w:val="000000"/>
                <w:spacing w:val="-6"/>
                <w:sz w:val="32"/>
                <w:szCs w:val="32"/>
                <w:highlight w:val="none"/>
              </w:rPr>
            </w:pPr>
            <w:r>
              <w:rPr>
                <w:rFonts w:hint="eastAsia" w:ascii="仿宋_GB2312" w:hAnsi="仿宋_GB2312" w:eastAsia="仿宋_GB2312" w:cs="仿宋_GB2312"/>
                <w:i w:val="0"/>
                <w:caps w:val="0"/>
                <w:color w:val="000000"/>
                <w:spacing w:val="-6"/>
                <w:kern w:val="0"/>
                <w:sz w:val="24"/>
                <w:szCs w:val="24"/>
                <w:highlight w:val="none"/>
                <w:lang w:val="en-US" w:eastAsia="zh-CN" w:bidi="ar-SA"/>
              </w:rPr>
              <w:t>鼓楼医保局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jc w:val="center"/>
        </w:trPr>
        <w:tc>
          <w:tcPr>
            <w:tcW w:w="832" w:type="dxa"/>
            <w:tcBorders>
              <w:top w:val="single" w:color="auto" w:sz="8" w:space="0"/>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i w:val="0"/>
                <w:caps w:val="0"/>
                <w:color w:val="000000"/>
                <w:spacing w:val="-6"/>
                <w:kern w:val="0"/>
                <w:sz w:val="24"/>
                <w:szCs w:val="24"/>
                <w:highlight w:val="none"/>
                <w:lang w:val="en-US" w:eastAsia="zh-CN" w:bidi="ar-SA"/>
              </w:rPr>
            </w:pPr>
            <w:r>
              <w:rPr>
                <w:rFonts w:hint="eastAsia" w:ascii="仿宋_GB2312" w:hAnsi="仿宋_GB2312" w:eastAsia="仿宋_GB2312" w:cs="仿宋_GB2312"/>
                <w:i w:val="0"/>
                <w:caps w:val="0"/>
                <w:color w:val="000000"/>
                <w:spacing w:val="-6"/>
                <w:kern w:val="0"/>
                <w:sz w:val="24"/>
                <w:szCs w:val="24"/>
                <w:highlight w:val="none"/>
                <w:lang w:val="en-US" w:eastAsia="zh-CN" w:bidi="ar-SA"/>
              </w:rPr>
              <w:t>9</w:t>
            </w:r>
          </w:p>
        </w:tc>
        <w:tc>
          <w:tcPr>
            <w:tcW w:w="4869" w:type="dxa"/>
            <w:tcBorders>
              <w:top w:val="single" w:color="auto" w:sz="8" w:space="0"/>
              <w:left w:val="single" w:color="auto" w:sz="4" w:space="0"/>
              <w:bottom w:val="single" w:color="auto" w:sz="8"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both"/>
              <w:textAlignment w:val="auto"/>
              <w:rPr>
                <w:rFonts w:hint="eastAsia" w:ascii="仿宋_GB2312" w:hAnsi="仿宋_GB2312" w:eastAsia="仿宋_GB2312" w:cs="仿宋_GB2312"/>
                <w:i w:val="0"/>
                <w:caps w:val="0"/>
                <w:color w:val="000000"/>
                <w:spacing w:val="-6"/>
                <w:kern w:val="0"/>
                <w:sz w:val="24"/>
                <w:szCs w:val="24"/>
                <w:highlight w:val="none"/>
                <w:lang w:val="en-US" w:eastAsia="zh-CN" w:bidi="ar-SA"/>
              </w:rPr>
            </w:pPr>
            <w:r>
              <w:rPr>
                <w:rFonts w:hint="eastAsia" w:ascii="仿宋_GB2312" w:hAnsi="仿宋_GB2312" w:eastAsia="仿宋_GB2312" w:cs="仿宋_GB2312"/>
                <w:i w:val="0"/>
                <w:caps w:val="0"/>
                <w:color w:val="000000"/>
                <w:spacing w:val="-6"/>
                <w:kern w:val="0"/>
                <w:sz w:val="24"/>
                <w:szCs w:val="24"/>
                <w:highlight w:val="none"/>
                <w:lang w:val="en-US" w:eastAsia="zh-CN" w:bidi="ar-SA"/>
              </w:rPr>
              <w:t>养老机构和协议合作的医疗卫生机构普遍开通双向转诊绿色通道，所有养老机构能够以不同形式为入住老年人提供医疗卫生服务，60%以上的养老机构能够以不同形式为入住老年人提供中医药健康服务。</w:t>
            </w:r>
          </w:p>
        </w:tc>
        <w:tc>
          <w:tcPr>
            <w:tcW w:w="1200" w:type="dxa"/>
            <w:tcBorders>
              <w:top w:val="single" w:color="auto" w:sz="8" w:space="0"/>
              <w:left w:val="single" w:color="auto" w:sz="4" w:space="0"/>
              <w:bottom w:val="single" w:color="auto" w:sz="8"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i w:val="0"/>
                <w:caps w:val="0"/>
                <w:color w:val="000000"/>
                <w:spacing w:val="-6"/>
                <w:kern w:val="0"/>
                <w:sz w:val="24"/>
                <w:szCs w:val="24"/>
                <w:highlight w:val="none"/>
                <w:lang w:val="en-US" w:eastAsia="zh-CN" w:bidi="ar-SA"/>
              </w:rPr>
            </w:pPr>
            <w:r>
              <w:rPr>
                <w:rFonts w:hint="eastAsia" w:ascii="仿宋_GB2312" w:hAnsi="仿宋_GB2312" w:eastAsia="仿宋_GB2312" w:cs="仿宋_GB2312"/>
                <w:i w:val="0"/>
                <w:caps w:val="0"/>
                <w:color w:val="000000"/>
                <w:spacing w:val="-6"/>
                <w:kern w:val="0"/>
                <w:sz w:val="24"/>
                <w:szCs w:val="24"/>
                <w:highlight w:val="none"/>
                <w:lang w:val="en-US" w:eastAsia="zh-CN" w:bidi="ar-SA"/>
              </w:rPr>
              <w:t>2022年</w:t>
            </w:r>
          </w:p>
        </w:tc>
        <w:tc>
          <w:tcPr>
            <w:tcW w:w="954" w:type="dxa"/>
            <w:tcBorders>
              <w:top w:val="single" w:color="auto" w:sz="8" w:space="0"/>
              <w:left w:val="single" w:color="auto" w:sz="4" w:space="0"/>
              <w:bottom w:val="single" w:color="auto" w:sz="8" w:space="0"/>
              <w:right w:val="single" w:color="auto" w:sz="4"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i w:val="0"/>
                <w:caps w:val="0"/>
                <w:color w:val="000000"/>
                <w:spacing w:val="-6"/>
                <w:kern w:val="0"/>
                <w:sz w:val="24"/>
                <w:szCs w:val="24"/>
                <w:highlight w:val="none"/>
                <w:lang w:val="en-US" w:eastAsia="zh-CN" w:bidi="ar-SA"/>
              </w:rPr>
            </w:pPr>
            <w:r>
              <w:rPr>
                <w:rFonts w:hint="eastAsia" w:ascii="仿宋_GB2312" w:hAnsi="仿宋_GB2312" w:eastAsia="仿宋_GB2312" w:cs="仿宋_GB2312"/>
                <w:i w:val="0"/>
                <w:caps w:val="0"/>
                <w:color w:val="000000"/>
                <w:spacing w:val="-6"/>
                <w:kern w:val="0"/>
                <w:sz w:val="24"/>
                <w:szCs w:val="24"/>
                <w:highlight w:val="none"/>
                <w:lang w:val="en-US" w:eastAsia="zh-CN" w:bidi="ar-SA"/>
              </w:rPr>
              <w:t>预期性</w:t>
            </w:r>
          </w:p>
        </w:tc>
        <w:tc>
          <w:tcPr>
            <w:tcW w:w="1805" w:type="dxa"/>
            <w:tcBorders>
              <w:top w:val="single" w:color="auto" w:sz="8" w:space="0"/>
              <w:left w:val="single" w:color="auto" w:sz="4"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i w:val="0"/>
                <w:caps w:val="0"/>
                <w:color w:val="000000"/>
                <w:spacing w:val="-6"/>
                <w:kern w:val="0"/>
                <w:sz w:val="24"/>
                <w:szCs w:val="24"/>
                <w:highlight w:val="none"/>
                <w:lang w:val="en-US" w:eastAsia="zh-CN" w:bidi="ar-SA"/>
              </w:rPr>
            </w:pPr>
            <w:r>
              <w:rPr>
                <w:rFonts w:hint="eastAsia" w:ascii="仿宋_GB2312" w:hAnsi="仿宋_GB2312" w:eastAsia="仿宋_GB2312" w:cs="仿宋_GB2312"/>
                <w:i w:val="0"/>
                <w:caps w:val="0"/>
                <w:color w:val="000000"/>
                <w:spacing w:val="-6"/>
                <w:kern w:val="0"/>
                <w:sz w:val="24"/>
                <w:szCs w:val="24"/>
                <w:highlight w:val="none"/>
                <w:lang w:val="en-US" w:eastAsia="zh-CN" w:bidi="ar-SA"/>
              </w:rPr>
              <w:t>区民政局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jc w:val="center"/>
              <w:textAlignment w:val="auto"/>
              <w:rPr>
                <w:rFonts w:hint="eastAsia" w:ascii="仿宋_GB2312" w:hAnsi="仿宋_GB2312" w:eastAsia="仿宋_GB2312" w:cs="仿宋_GB2312"/>
                <w:i w:val="0"/>
                <w:caps w:val="0"/>
                <w:color w:val="000000"/>
                <w:spacing w:val="-6"/>
                <w:kern w:val="0"/>
                <w:sz w:val="24"/>
                <w:szCs w:val="24"/>
                <w:highlight w:val="none"/>
                <w:lang w:val="en-US" w:eastAsia="zh-CN" w:bidi="ar-SA"/>
              </w:rPr>
            </w:pPr>
            <w:r>
              <w:rPr>
                <w:rFonts w:hint="eastAsia" w:ascii="仿宋_GB2312" w:hAnsi="仿宋_GB2312" w:eastAsia="仿宋_GB2312" w:cs="仿宋_GB2312"/>
                <w:i w:val="0"/>
                <w:caps w:val="0"/>
                <w:color w:val="000000"/>
                <w:spacing w:val="-6"/>
                <w:kern w:val="0"/>
                <w:sz w:val="24"/>
                <w:szCs w:val="24"/>
                <w:highlight w:val="none"/>
                <w:lang w:val="en-US" w:eastAsia="zh-CN" w:bidi="ar-SA"/>
              </w:rPr>
              <w:t>区卫健局</w:t>
            </w:r>
          </w:p>
        </w:tc>
      </w:tr>
    </w:tbl>
    <w:p>
      <w:pPr>
        <w:pStyle w:val="2"/>
        <w:rPr>
          <w:rFonts w:hint="eastAsia" w:ascii="仿宋_GB2312" w:eastAsia="仿宋_GB2312"/>
          <w:spacing w:val="-6"/>
          <w:lang w:val="en-US" w:eastAsia="zh-CN"/>
        </w:rPr>
      </w:pPr>
    </w:p>
    <w:sectPr>
      <w:footerReference r:id="rId3" w:type="default"/>
      <w:footerReference r:id="rId4" w:type="even"/>
      <w:pgSz w:w="11906" w:h="16838"/>
      <w:pgMar w:top="1701" w:right="1531" w:bottom="1701" w:left="1531" w:header="851" w:footer="1417" w:gutter="0"/>
      <w:paperSrc/>
      <w:pgNumType w:fmt="numberInDash"/>
      <w:cols w:space="720" w:num="1"/>
      <w:docGrid w:type="linesAndChars" w:linePitch="634" w:charSpace="-388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8820"/>
        <w:tab w:val="clear" w:pos="8306"/>
      </w:tabs>
      <w:ind w:right="23"/>
      <w:jc w:val="both"/>
      <w:rPr>
        <w:rFonts w:hint="eastAsia"/>
        <w:sz w:val="2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UvbTz3gEAAL4DAAAOAAAAAAAA&#10;AAEAIAAAAB4BAABkcnMvZTJvRG9jLnhtbFBLBQYAAAAABgAGAFkBAABuBQAAAAA=&#10;">
              <v:fill on="f" focussize="0,0"/>
              <v:stroke on="f"/>
              <v:imagedata o:title=""/>
              <o:lock v:ext="edit" aspectratio="f"/>
              <v:textbox inset="0mm,0mm,0mm,0mm" style="mso-fit-shape-to-text:t;">
                <w:txbxContent>
                  <w:p>
                    <w:pPr>
                      <w:pStyle w:val="5"/>
                      <w:rPr>
                        <w:rFonts w:hint="eastAsia" w:eastAsia="仿宋_GB2312"/>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txbxContent>
              </v:textbox>
            </v:shape>
          </w:pict>
        </mc:Fallback>
      </mc:AlternateContent>
    </w:r>
    <w:r>
      <w:rPr>
        <w:kern w:val="0"/>
        <w:sz w:val="28"/>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rFonts w:hint="eastAsia"/>
        <w:sz w:val="24"/>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2</w:t>
                          </w:r>
                          <w:r>
                            <w:rPr>
                              <w:sz w:val="28"/>
                              <w:szCs w:val="28"/>
                            </w:rPr>
                            <w:fldChar w:fldCharType="end"/>
                          </w:r>
                        </w:p>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5"/>
                      <w:rPr>
                        <w:rStyle w:val="10"/>
                      </w:rPr>
                    </w:pPr>
                    <w:r>
                      <w:rPr>
                        <w:sz w:val="28"/>
                        <w:szCs w:val="28"/>
                      </w:rPr>
                      <w:fldChar w:fldCharType="begin"/>
                    </w:r>
                    <w:r>
                      <w:rPr>
                        <w:rStyle w:val="10"/>
                        <w:sz w:val="28"/>
                        <w:szCs w:val="28"/>
                      </w:rPr>
                      <w:instrText xml:space="preserve">PAGE  </w:instrText>
                    </w:r>
                    <w:r>
                      <w:rPr>
                        <w:sz w:val="28"/>
                        <w:szCs w:val="28"/>
                      </w:rPr>
                      <w:fldChar w:fldCharType="separate"/>
                    </w:r>
                    <w:r>
                      <w:rPr>
                        <w:rStyle w:val="10"/>
                        <w:sz w:val="28"/>
                        <w:szCs w:val="28"/>
                      </w:rPr>
                      <w:t>2</w:t>
                    </w:r>
                    <w:r>
                      <w:rPr>
                        <w:sz w:val="28"/>
                        <w:szCs w:val="28"/>
                      </w:rPr>
                      <w:fldChar w:fldCharType="end"/>
                    </w:r>
                  </w:p>
                  <w:p/>
                </w:txbxContent>
              </v:textbox>
            </v:shape>
          </w:pict>
        </mc:Fallback>
      </mc:AlternateContent>
    </w:r>
    <w:r>
      <w:rPr>
        <w:rFonts w:hint="eastAsia"/>
        <w:kern w:val="0"/>
        <w:sz w:val="24"/>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evenAndOddHeaders w:val="1"/>
  <w:drawingGridHorizontalSpacing w:val="301"/>
  <w:drawingGridVerticalSpacing w:val="317"/>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Time" w:val="2018-08-30 11:02:04"/>
    <w:docVar w:name="SessionId" w:val="LtpaToken=AAECAzVCODc1RDQ0NUI4ODQ3QTRDTj1VMDA3MTA1L089RlVaSE9V38F3M6bdv7+yTeho3UCiuITQn8U="/>
  </w:docVars>
  <w:rsids>
    <w:rsidRoot w:val="0087167A"/>
    <w:rsid w:val="0002180B"/>
    <w:rsid w:val="00033C1E"/>
    <w:rsid w:val="00183C9F"/>
    <w:rsid w:val="003B4A29"/>
    <w:rsid w:val="005D436D"/>
    <w:rsid w:val="00600E41"/>
    <w:rsid w:val="00716594"/>
    <w:rsid w:val="00754F79"/>
    <w:rsid w:val="007B5421"/>
    <w:rsid w:val="008463A9"/>
    <w:rsid w:val="0087167A"/>
    <w:rsid w:val="00AA592B"/>
    <w:rsid w:val="00D44DC5"/>
    <w:rsid w:val="00DE747F"/>
    <w:rsid w:val="00E312D6"/>
    <w:rsid w:val="00E56B40"/>
    <w:rsid w:val="00F23DC8"/>
    <w:rsid w:val="00F32524"/>
    <w:rsid w:val="018D7AA1"/>
    <w:rsid w:val="01B42245"/>
    <w:rsid w:val="03582143"/>
    <w:rsid w:val="04207777"/>
    <w:rsid w:val="06286705"/>
    <w:rsid w:val="06AB4940"/>
    <w:rsid w:val="081F76F7"/>
    <w:rsid w:val="0B593C5C"/>
    <w:rsid w:val="0C7F0A0B"/>
    <w:rsid w:val="0EDA3D70"/>
    <w:rsid w:val="0FA10CEC"/>
    <w:rsid w:val="10600D4C"/>
    <w:rsid w:val="10F31A28"/>
    <w:rsid w:val="12190708"/>
    <w:rsid w:val="123F6E85"/>
    <w:rsid w:val="12C7649C"/>
    <w:rsid w:val="13257DED"/>
    <w:rsid w:val="137E72FA"/>
    <w:rsid w:val="15A16688"/>
    <w:rsid w:val="170A0800"/>
    <w:rsid w:val="17CB4F81"/>
    <w:rsid w:val="1816386D"/>
    <w:rsid w:val="182153C1"/>
    <w:rsid w:val="1BFB2829"/>
    <w:rsid w:val="1DA4209E"/>
    <w:rsid w:val="225222A4"/>
    <w:rsid w:val="24063A62"/>
    <w:rsid w:val="24B821AD"/>
    <w:rsid w:val="25343071"/>
    <w:rsid w:val="255A660D"/>
    <w:rsid w:val="284D198D"/>
    <w:rsid w:val="28CF1E1C"/>
    <w:rsid w:val="2F00027A"/>
    <w:rsid w:val="30242F59"/>
    <w:rsid w:val="30D525A9"/>
    <w:rsid w:val="30EF67DF"/>
    <w:rsid w:val="32640DF6"/>
    <w:rsid w:val="349A0C04"/>
    <w:rsid w:val="355A7EC9"/>
    <w:rsid w:val="36BD01F3"/>
    <w:rsid w:val="375466DB"/>
    <w:rsid w:val="380B56FC"/>
    <w:rsid w:val="396D57B5"/>
    <w:rsid w:val="3BA24854"/>
    <w:rsid w:val="3BC31761"/>
    <w:rsid w:val="3D395BEF"/>
    <w:rsid w:val="3D874898"/>
    <w:rsid w:val="3D9B7CB7"/>
    <w:rsid w:val="3FB32C50"/>
    <w:rsid w:val="429720B1"/>
    <w:rsid w:val="436705B9"/>
    <w:rsid w:val="44FA34CD"/>
    <w:rsid w:val="46D125B1"/>
    <w:rsid w:val="46F82F93"/>
    <w:rsid w:val="478F36FA"/>
    <w:rsid w:val="48B13212"/>
    <w:rsid w:val="4AD424EF"/>
    <w:rsid w:val="4C0F5405"/>
    <w:rsid w:val="4E7408AB"/>
    <w:rsid w:val="4FCE5F50"/>
    <w:rsid w:val="50C923F6"/>
    <w:rsid w:val="52742D5A"/>
    <w:rsid w:val="578A40C9"/>
    <w:rsid w:val="59032550"/>
    <w:rsid w:val="5E3E137B"/>
    <w:rsid w:val="5F81538E"/>
    <w:rsid w:val="5FC318B2"/>
    <w:rsid w:val="61D47C1F"/>
    <w:rsid w:val="62250869"/>
    <w:rsid w:val="6426625C"/>
    <w:rsid w:val="663923BD"/>
    <w:rsid w:val="66BF6523"/>
    <w:rsid w:val="67277FB4"/>
    <w:rsid w:val="68440D76"/>
    <w:rsid w:val="685E431B"/>
    <w:rsid w:val="6899109D"/>
    <w:rsid w:val="6CD14C4E"/>
    <w:rsid w:val="6D20262C"/>
    <w:rsid w:val="6D5A1370"/>
    <w:rsid w:val="6DAD3641"/>
    <w:rsid w:val="6DCB023F"/>
    <w:rsid w:val="6E6025FF"/>
    <w:rsid w:val="70F7266E"/>
    <w:rsid w:val="72A76392"/>
    <w:rsid w:val="73993748"/>
    <w:rsid w:val="73E15963"/>
    <w:rsid w:val="75C447AD"/>
    <w:rsid w:val="7730232B"/>
    <w:rsid w:val="795D7435"/>
    <w:rsid w:val="79925AFA"/>
    <w:rsid w:val="7A9903D2"/>
    <w:rsid w:val="7FBD38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kern w:val="2"/>
      <w:sz w:val="32"/>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customStyle="1" w:styleId="2">
    <w:name w:val="Acetate"/>
    <w:basedOn w:val="1"/>
    <w:semiHidden/>
    <w:qFormat/>
    <w:uiPriority w:val="0"/>
    <w:pPr>
      <w:jc w:val="both"/>
      <w:textAlignment w:val="baseline"/>
    </w:pPr>
    <w:rPr>
      <w:rFonts w:ascii="Times New Roman" w:hAnsi="Times New Roman" w:eastAsia="宋体"/>
      <w:kern w:val="0"/>
      <w:sz w:val="2"/>
      <w:szCs w:val="2"/>
      <w:lang w:val="en-US" w:eastAsia="zh-CN" w:bidi="ar-SA"/>
    </w:rPr>
  </w:style>
  <w:style w:type="paragraph" w:styleId="3">
    <w:name w:val="Date"/>
    <w:basedOn w:val="1"/>
    <w:next w:val="1"/>
    <w:uiPriority w:val="0"/>
    <w:rPr>
      <w:rFonts w:ascii="仿宋_GB2312" w:eastAsia="仿宋_GB2312"/>
      <w:sz w:val="32"/>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page number"/>
    <w:basedOn w:val="9"/>
    <w:uiPriority w:val="0"/>
  </w:style>
  <w:style w:type="paragraph" w:customStyle="1" w:styleId="11">
    <w:name w:val="p0"/>
    <w:basedOn w:val="1"/>
    <w:uiPriority w:val="0"/>
    <w:pPr>
      <w:widowControl/>
    </w:pPr>
    <w:rPr>
      <w:rFonts w:ascii="Times New Roman" w:hAnsi="Times New Roman"/>
      <w:kern w:val="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RJSOFT</Company>
  <Pages>2</Pages>
  <Words>218</Words>
  <Characters>230</Characters>
  <Lines>1</Lines>
  <Paragraphs>1</Paragraphs>
  <TotalTime>0</TotalTime>
  <ScaleCrop>false</ScaleCrop>
  <LinksUpToDate>false</LinksUpToDate>
  <CharactersWithSpaces>403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2005-05-13T02:28:00Z</dcterms:created>
  <dc:creator>RJeGov</dc:creator>
  <cp:lastModifiedBy>Administrator</cp:lastModifiedBy>
  <cp:lastPrinted>2021-11-22T03:54:38Z</cp:lastPrinted>
  <dcterms:modified xsi:type="dcterms:W3CDTF">2021-11-30T05:24:36Z</dcterms:modified>
  <dc:title>正文文件</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58F3313507A44252B8BDFE00ED615721</vt:lpwstr>
  </property>
</Properties>
</file>