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80" w:lineRule="exact"/>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keepNext w:val="0"/>
        <w:keepLines w:val="0"/>
        <w:pageBreakBefore w:val="0"/>
        <w:kinsoku/>
        <w:wordWrap/>
        <w:overflowPunct/>
        <w:topLinePunct w:val="0"/>
        <w:bidi w:val="0"/>
        <w:adjustRightInd/>
        <w:snapToGrid/>
        <w:spacing w:line="580" w:lineRule="exact"/>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鼓楼区街镇政府购买居家养老服务包预算表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86"/>
        <w:gridCol w:w="2618"/>
        <w:gridCol w:w="857"/>
        <w:gridCol w:w="597"/>
        <w:gridCol w:w="704"/>
        <w:gridCol w:w="2510"/>
        <w:gridCol w:w="2235"/>
        <w:gridCol w:w="2173"/>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7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
              </w:rPr>
              <w:t>街镇</w:t>
            </w:r>
          </w:p>
        </w:tc>
        <w:tc>
          <w:tcPr>
            <w:tcW w:w="261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19年8月-20年4月     服务对象申请人数（人）</w:t>
            </w:r>
          </w:p>
        </w:tc>
        <w:tc>
          <w:tcPr>
            <w:tcW w:w="21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其中</w:t>
            </w:r>
          </w:p>
        </w:tc>
        <w:tc>
          <w:tcPr>
            <w:tcW w:w="2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19年8月-20年4月       服务卡发放金额（元）</w:t>
            </w:r>
          </w:p>
        </w:tc>
        <w:tc>
          <w:tcPr>
            <w:tcW w:w="2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80-100岁以上          户籍老人人数（人）</w:t>
            </w:r>
          </w:p>
        </w:tc>
        <w:tc>
          <w:tcPr>
            <w:tcW w:w="21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18年8月-19年7月兑付金额（元）</w:t>
            </w: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服务包                 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000000"/>
                <w:sz w:val="28"/>
                <w:szCs w:val="28"/>
                <w:u w:val="none"/>
              </w:rPr>
            </w:pPr>
          </w:p>
        </w:tc>
        <w:tc>
          <w:tcPr>
            <w:tcW w:w="2618"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color w:val="000000"/>
                <w:sz w:val="28"/>
                <w:szCs w:val="28"/>
                <w:u w:val="none"/>
              </w:rPr>
            </w:pPr>
          </w:p>
        </w:tc>
        <w:tc>
          <w:tcPr>
            <w:tcW w:w="85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一类  人数</w:t>
            </w:r>
          </w:p>
        </w:tc>
        <w:tc>
          <w:tcPr>
            <w:tcW w:w="5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二类    人数</w:t>
            </w:r>
          </w:p>
        </w:tc>
        <w:tc>
          <w:tcPr>
            <w:tcW w:w="7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三类  人数</w:t>
            </w:r>
          </w:p>
        </w:tc>
        <w:tc>
          <w:tcPr>
            <w:tcW w:w="25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000000"/>
                <w:sz w:val="28"/>
                <w:szCs w:val="2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000000"/>
                <w:sz w:val="28"/>
                <w:szCs w:val="28"/>
                <w:u w:val="none"/>
              </w:rPr>
            </w:pPr>
          </w:p>
        </w:tc>
        <w:tc>
          <w:tcPr>
            <w:tcW w:w="21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000000"/>
                <w:sz w:val="28"/>
                <w:szCs w:val="28"/>
                <w:u w:val="none"/>
              </w:rPr>
            </w:pPr>
          </w:p>
        </w:tc>
        <w:tc>
          <w:tcPr>
            <w:tcW w:w="14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鼓东</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1400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1348</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27</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620130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2428</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482435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634750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鼓西</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1845</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1764</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51</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824020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3082</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631005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838650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温泉</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1427</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1379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37</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11</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602380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3250</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447440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东街</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770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739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23</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8</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338250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1864</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279930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352870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南街</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1210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1151</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19</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554690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3119</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420005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569310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安泰</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494</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474</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14</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228540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1375</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194010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243160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华大</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1801</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1742</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41</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18</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763950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3651</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582235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778570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水部</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1056</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1009</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480840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1716</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403110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495460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五凤</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1572</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1533</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17</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646850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3475</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460835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661470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洪山镇</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1735</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1675</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39</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21</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734140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3259</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527495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748760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合计</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13310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12814</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308</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188</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5793790</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27219</w:t>
            </w:r>
          </w:p>
        </w:tc>
        <w:tc>
          <w:tcPr>
            <w:tcW w:w="2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4428500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5940000</w:t>
            </w:r>
          </w:p>
        </w:tc>
      </w:tr>
    </w:tbl>
    <w:p>
      <w:pPr>
        <w:keepNext w:val="0"/>
        <w:keepLines w:val="0"/>
        <w:pageBreakBefore w:val="0"/>
        <w:kinsoku/>
        <w:wordWrap/>
        <w:overflowPunct/>
        <w:topLinePunct w:val="0"/>
        <w:bidi w:val="0"/>
        <w:adjustRightInd/>
        <w:snapToGrid/>
        <w:spacing w:line="580" w:lineRule="exact"/>
        <w:rPr>
          <w:rFonts w:hint="eastAsia" w:ascii="黑体" w:hAnsi="黑体" w:eastAsia="黑体" w:cs="黑体"/>
          <w:b w:val="0"/>
          <w:bCs w:val="0"/>
          <w:color w:val="000000"/>
          <w:sz w:val="32"/>
          <w:szCs w:val="32"/>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32" w:charSpace="0"/>
        </w:sectPr>
      </w:pPr>
    </w:p>
    <w:p>
      <w:pPr>
        <w:keepNext w:val="0"/>
        <w:keepLines w:val="0"/>
        <w:pageBreakBefore w:val="0"/>
        <w:kinsoku/>
        <w:wordWrap/>
        <w:overflowPunct/>
        <w:topLinePunct w:val="0"/>
        <w:bidi w:val="0"/>
        <w:adjustRightInd/>
        <w:snapToGrid/>
        <w:spacing w:line="560" w:lineRule="exac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pPr>
        <w:keepNext w:val="0"/>
        <w:keepLines w:val="0"/>
        <w:pageBreakBefore w:val="0"/>
        <w:kinsoku/>
        <w:wordWrap/>
        <w:overflowPunct/>
        <w:topLinePunct w:val="0"/>
        <w:bidi w:val="0"/>
        <w:adjustRightInd/>
        <w:snapToGrid/>
        <w:spacing w:line="560" w:lineRule="exact"/>
        <w:rPr>
          <w:rFonts w:hint="eastAsia" w:ascii="黑体" w:hAnsi="黑体" w:eastAsia="黑体" w:cs="黑体"/>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政府购买居家养老服务项目招标内容</w:t>
      </w:r>
    </w:p>
    <w:p>
      <w:pPr>
        <w:keepNext w:val="0"/>
        <w:keepLines w:val="0"/>
        <w:pageBreakBefore w:val="0"/>
        <w:kinsoku/>
        <w:wordWrap/>
        <w:overflowPunct/>
        <w:topLinePunct w:val="0"/>
        <w:bidi w:val="0"/>
        <w:adjustRightInd/>
        <w:snapToGrid/>
        <w:spacing w:line="560" w:lineRule="exact"/>
        <w:jc w:val="center"/>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（参考文本）</w:t>
      </w:r>
    </w:p>
    <w:p>
      <w:pPr>
        <w:keepNext w:val="0"/>
        <w:keepLines w:val="0"/>
        <w:pageBreakBefore w:val="0"/>
        <w:kinsoku/>
        <w:wordWrap/>
        <w:overflowPunct/>
        <w:topLinePunct w:val="0"/>
        <w:bidi w:val="0"/>
        <w:adjustRightInd/>
        <w:snapToGrid/>
        <w:spacing w:line="560" w:lineRule="exact"/>
        <w:jc w:val="center"/>
        <w:rPr>
          <w:rFonts w:hint="eastAsia" w:ascii="楷体_GB2312" w:hAnsi="楷体_GB2312" w:eastAsia="楷体_GB2312" w:cs="楷体_GB2312"/>
          <w:b w:val="0"/>
          <w:bCs w:val="0"/>
          <w:color w:val="000000"/>
          <w:sz w:val="32"/>
          <w:szCs w:val="32"/>
          <w:lang w:eastAsia="zh-CN"/>
        </w:rPr>
      </w:pPr>
    </w:p>
    <w:p>
      <w:pPr>
        <w:keepNext w:val="0"/>
        <w:keepLines w:val="0"/>
        <w:pageBreakBefore w:val="0"/>
        <w:kinsoku/>
        <w:wordWrap/>
        <w:overflowPunct/>
        <w:topLinePunct w:val="0"/>
        <w:bidi w:val="0"/>
        <w:adjustRightInd/>
        <w:snapToGrid/>
        <w:spacing w:line="560" w:lineRule="exact"/>
        <w:ind w:firstLine="616" w:firstLineChars="200"/>
        <w:jc w:val="left"/>
        <w:rPr>
          <w:rFonts w:hint="eastAsia" w:ascii="仿宋_GB2312" w:hAnsi="仿宋" w:eastAsia="仿宋_GB2312"/>
          <w:b w:val="0"/>
          <w:bCs w:val="0"/>
          <w:color w:val="000000"/>
          <w:sz w:val="32"/>
          <w:szCs w:val="32"/>
        </w:rPr>
      </w:pPr>
      <w:r>
        <w:rPr>
          <w:rFonts w:hint="eastAsia" w:ascii="仿宋_GB2312" w:hAnsi="仿宋" w:eastAsia="仿宋_GB2312"/>
          <w:b w:val="0"/>
          <w:bCs w:val="0"/>
          <w:color w:val="000000"/>
          <w:sz w:val="32"/>
          <w:szCs w:val="32"/>
        </w:rPr>
        <w:t>参照闽民福〔2016〕199号文件要求，</w:t>
      </w:r>
      <w:r>
        <w:rPr>
          <w:rFonts w:hint="eastAsia" w:ascii="仿宋_GB2312" w:hAnsi="仿宋" w:eastAsia="仿宋_GB2312"/>
          <w:b w:val="0"/>
          <w:bCs w:val="0"/>
          <w:color w:val="000000"/>
          <w:sz w:val="32"/>
          <w:szCs w:val="32"/>
          <w:lang w:eastAsia="zh-CN"/>
        </w:rPr>
        <w:t>我局</w:t>
      </w:r>
      <w:r>
        <w:rPr>
          <w:rFonts w:hint="eastAsia" w:ascii="仿宋_GB2312" w:hAnsi="仿宋" w:eastAsia="仿宋_GB2312"/>
          <w:b w:val="0"/>
          <w:bCs w:val="0"/>
          <w:color w:val="000000"/>
          <w:sz w:val="32"/>
          <w:szCs w:val="32"/>
        </w:rPr>
        <w:t>草拟</w:t>
      </w:r>
      <w:r>
        <w:rPr>
          <w:rFonts w:hint="eastAsia" w:ascii="仿宋_GB2312" w:hAnsi="仿宋" w:eastAsia="仿宋_GB2312"/>
          <w:b w:val="0"/>
          <w:bCs w:val="0"/>
          <w:color w:val="000000"/>
          <w:sz w:val="32"/>
          <w:szCs w:val="32"/>
          <w:lang w:eastAsia="zh-CN"/>
        </w:rPr>
        <w:t>街镇社区养老服务照料中心新增的政府购买居家养老服务项目招标内容</w:t>
      </w:r>
      <w:r>
        <w:rPr>
          <w:rFonts w:hint="eastAsia" w:ascii="仿宋_GB2312" w:hAnsi="仿宋" w:eastAsia="仿宋_GB2312"/>
          <w:b w:val="0"/>
          <w:bCs w:val="0"/>
          <w:color w:val="000000"/>
          <w:sz w:val="32"/>
          <w:szCs w:val="32"/>
        </w:rPr>
        <w:t>以供参考。简要如下：</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1.投标人资格标准</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（1）具有独立承担民事责任的能力，并具备参加政府采购活动的合法条件。</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（2）具有履行合同所必需的设备和专业技术能力。</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（3）具备建设社区居家养老服务相关资质与相应条件，注册资金不低于100万。</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（4）具有良好的财务状况报告，具有依法缴纳税收和社会保障资金的良好记录。</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（5）符合国家相关法律法规规定的其他条件。</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2.项目内容和具体要求</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 xml:space="preserve"> “社区居家养老专业化服务项目”招标，要求投标人负责在辖区内建立社区居家养老信息服务平台，配备养老服务队伍，联合服务加盟商，辖区内老年人提供多层次养老服务。各街镇可根据实际予以调整、补充，对核心项目内容可明确关键性条款。投标人应在投标文件中予以响应，并提供实质性满足招标文件要求的依据。</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（1）建立一个信息服务平台。包含紧急救援和呼叫服务系统、老年人基本信息和健康档案系统、加盟商和服务人员管理系统、养老服务需求评估系统、在线支付结算系统、平台客服系统。</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2）配备养老服务队伍。主要承担入户登记老年人基本信息和服务需求、提供应急联动服务及信息化平台服务链接等事务、协助开展文化教育娱乐活动。还应根据服务辖区的老年人数，按一定比例配备具有社工专业知识和技能的养老服务人员。同时，为维持平台日常运转应配备若干工作人员。</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3）联合加盟服务商。投标人应根据老年人急需的救援、家政、医疗、保健等服务需求，挖掘和筛选养老服务相关企业和机构，通过建立健全加盟商准入和退出机制，服务质量监管机制，实行标准化管理，要对联合加盟的服务商提出实体要求。</w:t>
      </w:r>
    </w:p>
    <w:p>
      <w:pPr>
        <w:keepNext w:val="0"/>
        <w:keepLines w:val="0"/>
        <w:pageBreakBefore w:val="0"/>
        <w:kinsoku/>
        <w:wordWrap/>
        <w:overflowPunct/>
        <w:topLinePunct w:val="0"/>
        <w:bidi w:val="0"/>
        <w:adjustRightInd/>
        <w:snapToGrid/>
        <w:spacing w:line="560" w:lineRule="exact"/>
        <w:ind w:firstLine="645"/>
        <w:rPr>
          <w:rFonts w:ascii="仿宋_GB2312" w:hAnsi="仿宋" w:eastAsia="仿宋_GB2312"/>
          <w:b w:val="0"/>
          <w:bCs w:val="0"/>
          <w:color w:val="000000"/>
          <w:sz w:val="32"/>
          <w:szCs w:val="32"/>
        </w:rPr>
      </w:pPr>
      <w:r>
        <w:rPr>
          <w:rFonts w:ascii="仿宋_GB2312" w:hAnsi="仿宋" w:eastAsia="仿宋_GB2312"/>
          <w:b w:val="0"/>
          <w:bCs w:val="0"/>
          <w:color w:val="000000"/>
          <w:sz w:val="32"/>
          <w:szCs w:val="32"/>
        </w:rPr>
        <w:t>（4）提供多样化、个性化、专业化的养老服务内容。社会组织要为政府购买服务的老年人无偿或低偿提供养老服务，对有经济能力的老年人运用市场化方式开展有偿服务。在老年人提出服务需求的时间内，可以安排专人上门提供服务的能力。</w:t>
      </w:r>
    </w:p>
    <w:p>
      <w:pPr>
        <w:pStyle w:val="3"/>
        <w:keepNext w:val="0"/>
        <w:keepLines w:val="0"/>
        <w:pageBreakBefore w:val="0"/>
        <w:shd w:val="clear" w:color="auto" w:fill="FFFFFF"/>
        <w:kinsoku/>
        <w:wordWrap/>
        <w:overflowPunct/>
        <w:topLinePunct w:val="0"/>
        <w:bidi w:val="0"/>
        <w:adjustRightInd/>
        <w:snapToGrid/>
        <w:spacing w:line="560" w:lineRule="exact"/>
        <w:ind w:firstLine="616" w:firstLineChars="200"/>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rPr>
        <w:t>3.评标办法</w:t>
      </w:r>
    </w:p>
    <w:p>
      <w:pPr>
        <w:pStyle w:val="3"/>
        <w:keepNext w:val="0"/>
        <w:keepLines w:val="0"/>
        <w:pageBreakBefore w:val="0"/>
        <w:shd w:val="clear" w:color="auto" w:fill="FFFFFF"/>
        <w:kinsoku/>
        <w:wordWrap/>
        <w:overflowPunct/>
        <w:topLinePunct w:val="0"/>
        <w:bidi w:val="0"/>
        <w:adjustRightInd/>
        <w:snapToGrid/>
        <w:spacing w:line="560" w:lineRule="exact"/>
        <w:ind w:firstLine="616" w:firstLineChars="200"/>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rPr>
        <w:t>建议采用综合评分法，进行量化指标评审，得分最高的投标人为中标候选人的评标方法。</w:t>
      </w:r>
    </w:p>
    <w:p>
      <w:pPr>
        <w:pStyle w:val="3"/>
        <w:keepNext w:val="0"/>
        <w:keepLines w:val="0"/>
        <w:pageBreakBefore w:val="0"/>
        <w:widowControl w:val="0"/>
        <w:shd w:val="clear" w:color="auto" w:fill="FFFFFF"/>
        <w:kinsoku/>
        <w:wordWrap/>
        <w:overflowPunct/>
        <w:topLinePunct w:val="0"/>
        <w:bidi w:val="0"/>
        <w:adjustRightInd/>
        <w:snapToGrid/>
        <w:spacing w:line="560" w:lineRule="exact"/>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rPr>
        <w:t>     投标评审内容包括报价、信息技术平台和养老服务三个部分（满分100分）。其中，养老服务部分的分值占总分值的60-70%，平台技术部分的分值占总分值的30-40%，各街镇可根据实际情况在以上幅度内自行确定。</w:t>
      </w:r>
    </w:p>
    <w:p>
      <w:pPr>
        <w:pStyle w:val="3"/>
        <w:keepNext w:val="0"/>
        <w:keepLines w:val="0"/>
        <w:pageBreakBefore w:val="0"/>
        <w:shd w:val="clear" w:color="auto" w:fill="FFFFFF"/>
        <w:kinsoku/>
        <w:wordWrap/>
        <w:overflowPunct/>
        <w:topLinePunct w:val="0"/>
        <w:bidi w:val="0"/>
        <w:adjustRightInd/>
        <w:snapToGrid/>
        <w:spacing w:line="560" w:lineRule="exact"/>
        <w:ind w:firstLine="616" w:firstLineChars="200"/>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rPr>
        <w:t>养老服务部分的评审项目可包括：1.服务总体方案，包括服务目标及整体设想，以及投标人已有养老服务体系完备情况等；2.服务标准，包括服务流程、服务响应时间、服务质量保障措施等；3.服务团队配置，包括服务人员职业资格、培训与管理等；</w:t>
      </w:r>
      <w:r>
        <w:rPr>
          <w:rFonts w:hint="eastAsia" w:ascii="仿宋_GB2312" w:hAnsi="微软雅黑" w:eastAsia="仿宋_GB2312"/>
          <w:b w:val="0"/>
          <w:bCs w:val="0"/>
          <w:color w:val="000000"/>
          <w:sz w:val="32"/>
          <w:szCs w:val="32"/>
          <w:lang w:val="en-US" w:eastAsia="zh-CN"/>
        </w:rPr>
        <w:t>4</w:t>
      </w:r>
      <w:r>
        <w:rPr>
          <w:rFonts w:hint="eastAsia" w:ascii="仿宋_GB2312" w:hAnsi="微软雅黑" w:eastAsia="仿宋_GB2312"/>
          <w:b w:val="0"/>
          <w:bCs w:val="0"/>
          <w:color w:val="000000"/>
          <w:sz w:val="32"/>
          <w:szCs w:val="32"/>
        </w:rPr>
        <w:t>.服务档案及跟踪管理；</w:t>
      </w:r>
      <w:r>
        <w:rPr>
          <w:rFonts w:hint="eastAsia" w:ascii="仿宋_GB2312" w:hAnsi="微软雅黑" w:eastAsia="仿宋_GB2312"/>
          <w:b w:val="0"/>
          <w:bCs w:val="0"/>
          <w:color w:val="000000"/>
          <w:sz w:val="32"/>
          <w:szCs w:val="32"/>
          <w:lang w:val="en-US" w:eastAsia="zh-CN"/>
        </w:rPr>
        <w:t>5</w:t>
      </w:r>
      <w:r>
        <w:rPr>
          <w:rFonts w:hint="eastAsia" w:ascii="仿宋_GB2312" w:hAnsi="微软雅黑" w:eastAsia="仿宋_GB2312"/>
          <w:b w:val="0"/>
          <w:bCs w:val="0"/>
          <w:color w:val="000000"/>
          <w:sz w:val="32"/>
          <w:szCs w:val="32"/>
        </w:rPr>
        <w:t>.服务特色与创新；</w:t>
      </w:r>
      <w:r>
        <w:rPr>
          <w:rFonts w:hint="eastAsia" w:ascii="仿宋_GB2312" w:hAnsi="微软雅黑" w:eastAsia="仿宋_GB2312"/>
          <w:b w:val="0"/>
          <w:bCs w:val="0"/>
          <w:color w:val="000000"/>
          <w:sz w:val="32"/>
          <w:szCs w:val="32"/>
          <w:lang w:val="en-US" w:eastAsia="zh-CN"/>
        </w:rPr>
        <w:t>6</w:t>
      </w:r>
      <w:r>
        <w:rPr>
          <w:rFonts w:hint="eastAsia" w:ascii="仿宋_GB2312" w:hAnsi="微软雅黑" w:eastAsia="仿宋_GB2312"/>
          <w:b w:val="0"/>
          <w:bCs w:val="0"/>
          <w:color w:val="000000"/>
          <w:sz w:val="32"/>
          <w:szCs w:val="32"/>
        </w:rPr>
        <w:t>.投标人在近三年为社会提供养老服务的项目业绩等。</w:t>
      </w:r>
    </w:p>
    <w:p>
      <w:pPr>
        <w:keepNext w:val="0"/>
        <w:keepLines w:val="0"/>
        <w:pageBreakBefore w:val="0"/>
        <w:kinsoku/>
        <w:wordWrap/>
        <w:overflowPunct/>
        <w:topLinePunct w:val="0"/>
        <w:bidi w:val="0"/>
        <w:adjustRightInd/>
        <w:snapToGrid/>
        <w:spacing w:line="560" w:lineRule="exact"/>
        <w:rPr>
          <w:rFonts w:hint="eastAsia" w:ascii="仿宋_GB2312" w:hAnsi="微软雅黑" w:eastAsia="仿宋_GB2312"/>
          <w:b w:val="0"/>
          <w:bCs w:val="0"/>
          <w:color w:val="000000"/>
          <w:sz w:val="32"/>
          <w:szCs w:val="32"/>
        </w:rPr>
      </w:pPr>
      <w:r>
        <w:rPr>
          <w:rFonts w:hint="eastAsia" w:ascii="仿宋_GB2312" w:hAnsi="微软雅黑" w:eastAsia="仿宋_GB2312"/>
          <w:b w:val="0"/>
          <w:bCs w:val="0"/>
          <w:color w:val="000000"/>
          <w:sz w:val="32"/>
          <w:szCs w:val="32"/>
        </w:rPr>
        <w:t>     养老服务信息平台技术部分的评审项目可包括：1.平台设计方案，包括平台功能模块等；2.平台系统搭建的承诺工期；3.呼叫中心运营实力；4.平台建设及运营所配备人员的资历及技术水平；5.服务设备的配备及维保使用；6.已有的养老服务信息系统建设成果；7.平台数据信息保密承诺等。</w:t>
      </w: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rPr>
          <w:rFonts w:hint="eastAsia" w:ascii="仿宋_GB2312" w:hAnsi="仿宋" w:eastAsia="仿宋_GB2312"/>
          <w:b w:val="0"/>
          <w:bCs w:val="0"/>
          <w:color w:val="000000"/>
          <w:sz w:val="32"/>
          <w:szCs w:val="32"/>
          <w:lang w:val="en-US" w:eastAsia="zh-CN"/>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br w:type="page"/>
      </w:r>
      <w:r>
        <w:rPr>
          <w:rFonts w:hint="eastAsia" w:ascii="黑体" w:hAnsi="黑体" w:eastAsia="黑体" w:cs="黑体"/>
          <w:b w:val="0"/>
          <w:bCs w:val="0"/>
          <w:color w:val="000000"/>
          <w:sz w:val="32"/>
          <w:szCs w:val="32"/>
          <w:lang w:val="en-US" w:eastAsia="zh-CN"/>
        </w:rPr>
        <w:t>附件3</w:t>
      </w:r>
    </w:p>
    <w:p>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outlineLvl w:val="0"/>
        <w:rPr>
          <w:rFonts w:hint="eastAsia" w:ascii="黑体" w:hAnsi="黑体" w:eastAsia="黑体" w:cs="黑体"/>
          <w:b w:val="0"/>
          <w:bCs w:val="0"/>
          <w:color w:val="000000"/>
          <w:sz w:val="32"/>
          <w:szCs w:val="32"/>
          <w:lang w:val="en-US" w:eastAsia="zh-CN"/>
        </w:rPr>
      </w:pPr>
    </w:p>
    <w:p>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center"/>
        <w:outlineLvl w:val="0"/>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XX</w:t>
      </w:r>
      <w:r>
        <w:rPr>
          <w:rFonts w:hint="eastAsia" w:ascii="方正小标宋简体" w:hAnsi="方正小标宋简体" w:eastAsia="方正小标宋简体" w:cs="方正小标宋简体"/>
          <w:b w:val="0"/>
          <w:bCs w:val="0"/>
          <w:color w:val="000000"/>
          <w:sz w:val="44"/>
          <w:szCs w:val="44"/>
        </w:rPr>
        <w:t>街道</w:t>
      </w:r>
      <w:r>
        <w:rPr>
          <w:rFonts w:hint="eastAsia" w:ascii="方正小标宋简体" w:hAnsi="方正小标宋简体" w:eastAsia="方正小标宋简体" w:cs="方正小标宋简体"/>
          <w:b w:val="0"/>
          <w:bCs w:val="0"/>
          <w:color w:val="000000"/>
          <w:sz w:val="44"/>
          <w:szCs w:val="44"/>
          <w:lang w:eastAsia="zh-CN"/>
        </w:rPr>
        <w:t>（</w:t>
      </w:r>
      <w:r>
        <w:rPr>
          <w:rFonts w:hint="eastAsia" w:ascii="方正小标宋简体" w:hAnsi="方正小标宋简体" w:eastAsia="方正小标宋简体" w:cs="方正小标宋简体"/>
          <w:b w:val="0"/>
          <w:bCs w:val="0"/>
          <w:color w:val="000000"/>
          <w:sz w:val="44"/>
          <w:szCs w:val="44"/>
          <w:lang w:val="en-US" w:eastAsia="zh-CN"/>
        </w:rPr>
        <w:t>镇</w:t>
      </w:r>
      <w:r>
        <w:rPr>
          <w:rFonts w:hint="eastAsia" w:ascii="方正小标宋简体" w:hAnsi="方正小标宋简体" w:eastAsia="方正小标宋简体" w:cs="方正小标宋简体"/>
          <w:b w:val="0"/>
          <w:bCs w:val="0"/>
          <w:color w:val="000000"/>
          <w:sz w:val="44"/>
          <w:szCs w:val="44"/>
          <w:lang w:eastAsia="zh-CN"/>
        </w:rPr>
        <w:t>）</w:t>
      </w:r>
      <w:r>
        <w:rPr>
          <w:rFonts w:hint="eastAsia" w:ascii="方正小标宋简体" w:hAnsi="方正小标宋简体" w:eastAsia="方正小标宋简体" w:cs="方正小标宋简体"/>
          <w:b w:val="0"/>
          <w:bCs w:val="0"/>
          <w:color w:val="000000"/>
          <w:sz w:val="44"/>
          <w:szCs w:val="44"/>
        </w:rPr>
        <w:t>社区养老服务照料中心</w:t>
      </w:r>
    </w:p>
    <w:p>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center"/>
        <w:outlineLvl w:val="0"/>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经营权承包合同</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baseline"/>
        <w:rPr>
          <w:rFonts w:hint="eastAsia" w:ascii="楷体_GB2312" w:hAnsi="楷体_GB2312" w:eastAsia="楷体_GB2312" w:cs="楷体_GB2312"/>
          <w:b w:val="0"/>
          <w:bCs w:val="0"/>
          <w:color w:val="000000"/>
          <w:sz w:val="32"/>
          <w:lang w:val="zh-CN"/>
        </w:rPr>
      </w:pPr>
      <w:r>
        <w:rPr>
          <w:rFonts w:hint="eastAsia" w:ascii="楷体_GB2312" w:hAnsi="楷体_GB2312" w:eastAsia="楷体_GB2312" w:cs="楷体_GB2312"/>
          <w:b w:val="0"/>
          <w:bCs w:val="0"/>
          <w:color w:val="000000"/>
          <w:sz w:val="32"/>
          <w:lang w:val="zh-CN"/>
        </w:rPr>
        <w:t>（</w:t>
      </w:r>
      <w:r>
        <w:rPr>
          <w:rFonts w:hint="eastAsia" w:ascii="楷体_GB2312" w:hAnsi="楷体_GB2312" w:eastAsia="楷体_GB2312" w:cs="楷体_GB2312"/>
          <w:b w:val="0"/>
          <w:bCs w:val="0"/>
          <w:color w:val="000000"/>
          <w:sz w:val="32"/>
          <w:lang w:val="en-US" w:eastAsia="zh-CN"/>
        </w:rPr>
        <w:t>参考文本</w:t>
      </w:r>
      <w:r>
        <w:rPr>
          <w:rFonts w:hint="eastAsia" w:ascii="楷体_GB2312" w:hAnsi="楷体_GB2312" w:eastAsia="楷体_GB2312" w:cs="楷体_GB2312"/>
          <w:b w:val="0"/>
          <w:bCs w:val="0"/>
          <w:color w:val="000000"/>
          <w:sz w:val="32"/>
          <w:lang w:val="zh-CN"/>
        </w:rPr>
        <w:t>）</w:t>
      </w:r>
    </w:p>
    <w:p>
      <w:pPr>
        <w:keepNext w:val="0"/>
        <w:keepLines w:val="0"/>
        <w:pageBreakBefore w:val="0"/>
        <w:kinsoku/>
        <w:wordWrap/>
        <w:overflowPunct/>
        <w:topLinePunct w:val="0"/>
        <w:autoSpaceDE w:val="0"/>
        <w:autoSpaceDN w:val="0"/>
        <w:bidi w:val="0"/>
        <w:adjustRightInd/>
        <w:snapToGrid/>
        <w:spacing w:line="560" w:lineRule="exact"/>
        <w:ind w:firstLine="616" w:firstLineChars="200"/>
        <w:jc w:val="center"/>
        <w:textAlignment w:val="baseline"/>
        <w:rPr>
          <w:rFonts w:hint="eastAsia" w:ascii="仿宋_GB2312" w:hAnsi="仿宋_GB2312" w:eastAsia="仿宋_GB2312"/>
          <w:b w:val="0"/>
          <w:bCs w:val="0"/>
          <w:color w:val="000000"/>
          <w:sz w:val="32"/>
          <w:lang w:val="zh-CN"/>
        </w:rPr>
      </w:pP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default"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zh-CN"/>
        </w:rPr>
        <w:t>甲方：</w:t>
      </w:r>
      <w:r>
        <w:rPr>
          <w:rFonts w:hint="eastAsia" w:ascii="仿宋_GB2312" w:hAnsi="仿宋_GB2312" w:eastAsia="仿宋_GB2312"/>
          <w:b w:val="0"/>
          <w:bCs w:val="0"/>
          <w:color w:val="000000"/>
          <w:sz w:val="32"/>
          <w:u w:val="none"/>
          <w:lang w:val="zh-CN"/>
        </w:rPr>
        <w:t>福州市鼓楼区</w:t>
      </w:r>
      <w:r>
        <w:rPr>
          <w:rFonts w:hint="eastAsia" w:ascii="仿宋_GB2312" w:hAnsi="仿宋_GB2312" w:eastAsia="仿宋_GB2312"/>
          <w:b w:val="0"/>
          <w:bCs w:val="0"/>
          <w:color w:val="000000"/>
          <w:sz w:val="32"/>
          <w:u w:val="single"/>
          <w:lang w:val="en-US" w:eastAsia="zh-CN"/>
        </w:rPr>
        <w:t xml:space="preserve">   </w:t>
      </w:r>
      <w:r>
        <w:rPr>
          <w:rFonts w:hint="eastAsia" w:ascii="仿宋_GB2312" w:hAnsi="仿宋_GB2312" w:eastAsia="仿宋_GB2312"/>
          <w:b w:val="0"/>
          <w:bCs w:val="0"/>
          <w:color w:val="000000"/>
          <w:sz w:val="32"/>
          <w:u w:val="none"/>
          <w:lang w:val="zh-CN"/>
        </w:rPr>
        <w:t>街道办事处</w:t>
      </w:r>
      <w:r>
        <w:rPr>
          <w:rFonts w:hint="eastAsia" w:ascii="仿宋_GB2312" w:hAnsi="仿宋_GB2312" w:eastAsia="仿宋_GB2312"/>
          <w:b w:val="0"/>
          <w:bCs w:val="0"/>
          <w:color w:val="000000"/>
          <w:sz w:val="32"/>
          <w:u w:val="none"/>
          <w:lang w:val="en-US" w:eastAsia="zh-CN"/>
        </w:rPr>
        <w:t>/镇人民政府</w:t>
      </w:r>
    </w:p>
    <w:p>
      <w:pPr>
        <w:keepNext w:val="0"/>
        <w:keepLines w:val="0"/>
        <w:pageBreakBefore w:val="0"/>
        <w:kinsoku/>
        <w:wordWrap/>
        <w:overflowPunct/>
        <w:topLinePunct w:val="0"/>
        <w:bidi w:val="0"/>
        <w:adjustRightInd/>
        <w:snapToGrid/>
        <w:spacing w:line="560" w:lineRule="exact"/>
        <w:ind w:firstLine="616" w:firstLineChars="200"/>
        <w:rPr>
          <w:rFonts w:hint="default"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zh-CN"/>
        </w:rPr>
        <w:t>乙方：</w:t>
      </w:r>
      <w:r>
        <w:rPr>
          <w:rFonts w:hint="eastAsia" w:ascii="仿宋_GB2312" w:hAnsi="仿宋_GB2312" w:eastAsia="仿宋_GB2312"/>
          <w:b w:val="0"/>
          <w:bCs w:val="0"/>
          <w:color w:val="000000"/>
          <w:sz w:val="32"/>
          <w:lang w:val="en-US" w:eastAsia="zh-CN"/>
        </w:rPr>
        <w:t>承包方（由街镇自行招投标决定）</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依照《中华人民共和国合同法》及国家相关法律、法规，遵循平等、自愿、公平和诚信的原则，甲、乙双方就</w:t>
      </w:r>
      <w:r>
        <w:rPr>
          <w:rFonts w:hint="eastAsia" w:ascii="仿宋_GB2312" w:hAnsi="仿宋_GB2312" w:eastAsia="仿宋_GB2312"/>
          <w:b w:val="0"/>
          <w:bCs w:val="0"/>
          <w:color w:val="000000"/>
          <w:sz w:val="32"/>
          <w:u w:val="single"/>
          <w:lang w:val="en-US" w:eastAsia="zh-CN"/>
        </w:rPr>
        <w:t xml:space="preserve">    </w:t>
      </w:r>
      <w:r>
        <w:rPr>
          <w:rFonts w:hint="eastAsia" w:ascii="仿宋_GB2312" w:hAnsi="仿宋_GB2312" w:eastAsia="仿宋_GB2312"/>
          <w:b w:val="0"/>
          <w:bCs w:val="0"/>
          <w:color w:val="000000"/>
          <w:sz w:val="32"/>
          <w:lang w:val="zh-CN"/>
        </w:rPr>
        <w:t>街道（</w:t>
      </w:r>
      <w:r>
        <w:rPr>
          <w:rFonts w:hint="eastAsia" w:ascii="仿宋_GB2312" w:hAnsi="仿宋_GB2312" w:eastAsia="仿宋_GB2312"/>
          <w:b w:val="0"/>
          <w:bCs w:val="0"/>
          <w:color w:val="000000"/>
          <w:sz w:val="32"/>
          <w:lang w:val="en-US" w:eastAsia="zh-CN"/>
        </w:rPr>
        <w:t>镇</w:t>
      </w:r>
      <w:r>
        <w:rPr>
          <w:rFonts w:hint="eastAsia" w:ascii="仿宋_GB2312" w:hAnsi="仿宋_GB2312" w:eastAsia="仿宋_GB2312"/>
          <w:b w:val="0"/>
          <w:bCs w:val="0"/>
          <w:color w:val="000000"/>
          <w:sz w:val="32"/>
          <w:lang w:val="zh-CN"/>
        </w:rPr>
        <w:t>）社区养老服务照料中心（地址，面积，下称“照料中心”）建设经营权承包事宜协商达成一致，订立本合同。</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黑体" w:hAnsi="黑体" w:eastAsia="黑体" w:cs="黑体"/>
          <w:b w:val="0"/>
          <w:bCs w:val="0"/>
          <w:color w:val="000000"/>
          <w:sz w:val="32"/>
          <w:lang w:val="zh-CN"/>
        </w:rPr>
      </w:pPr>
      <w:r>
        <w:rPr>
          <w:rFonts w:hint="eastAsia" w:ascii="黑体" w:hAnsi="黑体" w:eastAsia="黑体" w:cs="黑体"/>
          <w:b w:val="0"/>
          <w:bCs w:val="0"/>
          <w:color w:val="000000"/>
          <w:sz w:val="32"/>
          <w:lang w:val="zh-CN"/>
        </w:rPr>
        <w:t>一、本承包合同的要求</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楷体_GB2312" w:hAnsi="楷体_GB2312" w:eastAsia="楷体_GB2312" w:cs="楷体_GB2312"/>
          <w:b w:val="0"/>
          <w:bCs w:val="0"/>
          <w:color w:val="000000"/>
          <w:sz w:val="32"/>
          <w:lang w:val="zh-CN"/>
        </w:rPr>
      </w:pPr>
      <w:r>
        <w:rPr>
          <w:rFonts w:hint="eastAsia" w:ascii="楷体_GB2312" w:hAnsi="楷体_GB2312" w:eastAsia="楷体_GB2312" w:cs="楷体_GB2312"/>
          <w:b w:val="0"/>
          <w:bCs w:val="0"/>
          <w:color w:val="000000"/>
          <w:sz w:val="32"/>
          <w:lang w:val="zh-CN"/>
        </w:rPr>
        <w:t>（一）“照料中心”服务对象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rPr>
        <w:t>1.</w:t>
      </w:r>
      <w:r>
        <w:rPr>
          <w:rFonts w:hint="eastAsia" w:ascii="仿宋_GB2312" w:hAnsi="仿宋_GB2312" w:eastAsia="仿宋_GB2312"/>
          <w:b w:val="0"/>
          <w:bCs w:val="0"/>
          <w:color w:val="000000"/>
          <w:sz w:val="32"/>
          <w:lang w:val="zh-CN"/>
        </w:rPr>
        <w:t>照料中心范围内的公益共享场所应面向街道（</w:t>
      </w:r>
      <w:r>
        <w:rPr>
          <w:rFonts w:hint="eastAsia" w:ascii="仿宋_GB2312" w:hAnsi="仿宋_GB2312" w:eastAsia="仿宋_GB2312"/>
          <w:b w:val="0"/>
          <w:bCs w:val="0"/>
          <w:color w:val="000000"/>
          <w:sz w:val="32"/>
          <w:lang w:val="en-US" w:eastAsia="zh-CN"/>
        </w:rPr>
        <w:t>镇</w:t>
      </w:r>
      <w:r>
        <w:rPr>
          <w:rFonts w:hint="eastAsia" w:ascii="仿宋_GB2312" w:hAnsi="仿宋_GB2312" w:eastAsia="仿宋_GB2312"/>
          <w:b w:val="0"/>
          <w:bCs w:val="0"/>
          <w:color w:val="000000"/>
          <w:sz w:val="32"/>
          <w:lang w:val="zh-CN"/>
        </w:rPr>
        <w:t>）辖区户籍</w:t>
      </w:r>
      <w:r>
        <w:rPr>
          <w:rFonts w:ascii="仿宋_GB2312" w:hAnsi="仿宋_GB2312" w:eastAsia="仿宋_GB2312"/>
          <w:b w:val="0"/>
          <w:bCs w:val="0"/>
          <w:color w:val="000000"/>
          <w:sz w:val="32"/>
          <w:lang w:val="zh-CN"/>
        </w:rPr>
        <w:t>60</w:t>
      </w:r>
      <w:r>
        <w:rPr>
          <w:rFonts w:hint="eastAsia" w:ascii="仿宋_GB2312" w:hAnsi="仿宋_GB2312" w:eastAsia="仿宋_GB2312"/>
          <w:b w:val="0"/>
          <w:bCs w:val="0"/>
          <w:color w:val="000000"/>
          <w:sz w:val="32"/>
          <w:lang w:val="zh-CN"/>
        </w:rPr>
        <w:t>周岁以上老人免费开放。</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zh-CN"/>
        </w:rPr>
      </w:pPr>
      <w:r>
        <w:rPr>
          <w:rFonts w:ascii="仿宋_GB2312" w:hAnsi="仿宋_GB2312" w:eastAsia="仿宋_GB2312"/>
          <w:b w:val="0"/>
          <w:bCs w:val="0"/>
          <w:color w:val="000000"/>
          <w:sz w:val="32"/>
        </w:rPr>
        <w:t>2.</w:t>
      </w:r>
      <w:r>
        <w:rPr>
          <w:rFonts w:hint="eastAsia" w:ascii="仿宋_GB2312" w:hAnsi="仿宋_GB2312" w:eastAsia="仿宋_GB2312"/>
          <w:b w:val="0"/>
          <w:bCs w:val="0"/>
          <w:color w:val="000000"/>
          <w:sz w:val="32"/>
          <w:lang w:val="zh-CN"/>
        </w:rPr>
        <w:t>照料中心入住床位优先保障以下对象：</w:t>
      </w:r>
      <w:r>
        <w:rPr>
          <w:rFonts w:hint="eastAsia" w:ascii="仿宋_GB2312" w:hAnsi="仿宋_GB2312" w:eastAsia="仿宋_GB2312"/>
          <w:b w:val="0"/>
          <w:bCs w:val="0"/>
          <w:color w:val="000000"/>
          <w:sz w:val="32"/>
          <w:lang w:val="en-US" w:eastAsia="zh-CN"/>
        </w:rPr>
        <w:t>特困</w:t>
      </w:r>
      <w:r>
        <w:rPr>
          <w:rFonts w:hint="eastAsia" w:ascii="仿宋_GB2312" w:hAnsi="仿宋_GB2312" w:eastAsia="仿宋_GB2312"/>
          <w:b w:val="0"/>
          <w:bCs w:val="0"/>
          <w:color w:val="000000"/>
          <w:sz w:val="32"/>
          <w:lang w:val="zh-CN"/>
        </w:rPr>
        <w:t>、低保户、</w:t>
      </w:r>
      <w:r>
        <w:rPr>
          <w:rFonts w:hint="eastAsia" w:ascii="仿宋_GB2312" w:hAnsi="仿宋_GB2312" w:eastAsia="仿宋_GB2312"/>
          <w:b w:val="0"/>
          <w:bCs w:val="0"/>
          <w:color w:val="000000"/>
          <w:sz w:val="32"/>
          <w:lang w:val="en-US" w:eastAsia="zh-CN"/>
        </w:rPr>
        <w:t>低保边缘户、孤寡、计划生育特殊家庭等老人，</w:t>
      </w:r>
      <w:r>
        <w:rPr>
          <w:rFonts w:hint="eastAsia" w:ascii="仿宋_GB2312" w:hAnsi="仿宋_GB2312" w:eastAsia="仿宋_GB2312"/>
          <w:b w:val="0"/>
          <w:bCs w:val="0"/>
          <w:color w:val="000000"/>
          <w:sz w:val="32"/>
          <w:lang w:val="zh-CN"/>
        </w:rPr>
        <w:t>在满足特殊老人需求之外，面向鼓楼辖区老人开放。</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en-US" w:eastAsia="zh-CN"/>
        </w:rPr>
        <w:t>3.乙方承接区政府购买居家养老服务项目。政府购买服务对象及补助发放标准如下：</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en-US" w:eastAsia="zh-CN"/>
        </w:rPr>
        <w:t>（1）80周岁及以上老人，每人每月30元；</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en-US" w:eastAsia="zh-CN"/>
        </w:rPr>
        <w:t>（2）60周岁及以上的重点优抚、重度残疾、省级以上劳模（含），每人每月200元；</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en-US" w:eastAsia="zh-CN"/>
        </w:rPr>
        <w:t>（3）个人月收入1800元（含）及以下且60周岁以上的省级以上劳模（含）、重点优抚、重度残疾、低保、孤寡、独居、空巢、计划生育特殊家庭、与重残子女同住老人（以户口簿人均月收入计算），每人每月200-400元；</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en-US" w:eastAsia="zh-CN"/>
        </w:rPr>
        <w:t>4</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乙方提供上门居家养老服务应无条件辐射辖区户籍老人。</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楷体_GB2312" w:hAnsi="楷体_GB2312" w:eastAsia="楷体_GB2312" w:cs="楷体_GB2312"/>
          <w:b w:val="0"/>
          <w:bCs w:val="0"/>
          <w:color w:val="000000"/>
          <w:sz w:val="32"/>
          <w:lang w:val="zh-CN"/>
        </w:rPr>
        <w:t>（二）服务项目及收费标准</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zh-CN"/>
        </w:rPr>
        <w:t>“照料中心”服务项目</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zh-CN"/>
        </w:rPr>
        <w:t>）日间照料服务：提供日托、用餐、洗浴等一般照料服务以及短期寄养服务。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default"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2</w:t>
      </w: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助餐配送服务：提供集中就餐、上门送餐服务。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3</w:t>
      </w:r>
      <w:r>
        <w:rPr>
          <w:rFonts w:hint="eastAsia" w:ascii="仿宋_GB2312" w:hAnsi="仿宋_GB2312" w:eastAsia="仿宋_GB2312"/>
          <w:b w:val="0"/>
          <w:bCs w:val="0"/>
          <w:color w:val="000000"/>
          <w:sz w:val="32"/>
          <w:lang w:val="zh-CN"/>
        </w:rPr>
        <w:t>）康复护理服务：提供康复训练、康乐活动、养生指导等服务。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4</w:t>
      </w:r>
      <w:r>
        <w:rPr>
          <w:rFonts w:hint="eastAsia" w:ascii="仿宋_GB2312" w:hAnsi="仿宋_GB2312" w:eastAsia="仿宋_GB2312"/>
          <w:b w:val="0"/>
          <w:bCs w:val="0"/>
          <w:color w:val="000000"/>
          <w:sz w:val="32"/>
          <w:lang w:val="zh-CN"/>
        </w:rPr>
        <w:t>）精神慰藉服务：提供聊天谈心、心理</w:t>
      </w:r>
      <w:r>
        <w:rPr>
          <w:rFonts w:hint="eastAsia" w:ascii="仿宋_GB2312" w:hAnsi="仿宋_GB2312" w:eastAsia="仿宋_GB2312"/>
          <w:b w:val="0"/>
          <w:bCs w:val="0"/>
          <w:color w:val="000000"/>
          <w:sz w:val="32"/>
          <w:lang w:val="en-US" w:eastAsia="zh-CN"/>
        </w:rPr>
        <w:t>咨询、情绪疏导</w:t>
      </w:r>
      <w:r>
        <w:rPr>
          <w:rFonts w:hint="eastAsia" w:ascii="仿宋_GB2312" w:hAnsi="仿宋_GB2312" w:eastAsia="仿宋_GB2312"/>
          <w:b w:val="0"/>
          <w:bCs w:val="0"/>
          <w:color w:val="000000"/>
          <w:sz w:val="32"/>
          <w:lang w:val="zh-CN"/>
        </w:rPr>
        <w:t>等服务。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5</w:t>
      </w:r>
      <w:r>
        <w:rPr>
          <w:rFonts w:hint="eastAsia" w:ascii="仿宋_GB2312" w:hAnsi="仿宋_GB2312" w:eastAsia="仿宋_GB2312"/>
          <w:b w:val="0"/>
          <w:bCs w:val="0"/>
          <w:color w:val="000000"/>
          <w:sz w:val="32"/>
          <w:lang w:val="zh-CN"/>
        </w:rPr>
        <w:t>）法律维权服务：提供法律咨询、法律援助，维护老年人合法权益等服务。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6</w:t>
      </w:r>
      <w:r>
        <w:rPr>
          <w:rFonts w:hint="eastAsia" w:ascii="仿宋_GB2312" w:hAnsi="仿宋_GB2312" w:eastAsia="仿宋_GB2312"/>
          <w:b w:val="0"/>
          <w:bCs w:val="0"/>
          <w:color w:val="000000"/>
          <w:sz w:val="32"/>
          <w:lang w:val="zh-CN"/>
        </w:rPr>
        <w:t>）文化娱乐服务：提供文体活动、老年教育、报刊和图书阅览等服务。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2.</w:t>
      </w:r>
      <w:r>
        <w:rPr>
          <w:rFonts w:hint="eastAsia" w:ascii="仿宋_GB2312" w:hAnsi="仿宋_GB2312" w:eastAsia="仿宋_GB2312"/>
          <w:b w:val="0"/>
          <w:bCs w:val="0"/>
          <w:color w:val="000000"/>
          <w:sz w:val="32"/>
          <w:lang w:val="zh-CN"/>
        </w:rPr>
        <w:t>上门居家养老服务项目</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rPr>
        <w:t>1</w:t>
      </w: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六助一护</w:t>
      </w:r>
      <w:r>
        <w:rPr>
          <w:rFonts w:hint="eastAsia" w:ascii="仿宋_GB2312" w:hAnsi="仿宋_GB2312" w:eastAsia="仿宋_GB2312"/>
          <w:b w:val="0"/>
          <w:bCs w:val="0"/>
          <w:color w:val="000000"/>
          <w:sz w:val="32"/>
          <w:lang w:val="zh-CN"/>
        </w:rPr>
        <w:t>”服务：</w:t>
      </w:r>
      <w:r>
        <w:rPr>
          <w:rFonts w:hint="eastAsia" w:ascii="仿宋_GB2312" w:hAnsi="仿宋_GB2312" w:eastAsia="仿宋_GB2312"/>
          <w:b w:val="0"/>
          <w:bCs w:val="0"/>
          <w:color w:val="000000"/>
          <w:sz w:val="32"/>
          <w:lang w:val="en-US" w:eastAsia="zh-CN"/>
        </w:rPr>
        <w:t>提供</w:t>
      </w:r>
      <w:r>
        <w:rPr>
          <w:rFonts w:hint="eastAsia" w:ascii="仿宋_GB2312" w:hAnsi="仿宋_GB2312" w:eastAsia="仿宋_GB2312"/>
          <w:b w:val="0"/>
          <w:bCs w:val="0"/>
          <w:color w:val="000000"/>
          <w:sz w:val="32"/>
          <w:lang w:val="zh-CN"/>
        </w:rPr>
        <w:t>助餐、助浴、助洁、助医、助</w:t>
      </w:r>
      <w:r>
        <w:rPr>
          <w:rFonts w:hint="eastAsia" w:ascii="仿宋_GB2312" w:hAnsi="仿宋_GB2312" w:eastAsia="仿宋_GB2312"/>
          <w:b w:val="0"/>
          <w:bCs w:val="0"/>
          <w:color w:val="000000"/>
          <w:sz w:val="32"/>
          <w:lang w:val="en-US" w:eastAsia="zh-CN"/>
        </w:rPr>
        <w:t>急</w:t>
      </w:r>
      <w:r>
        <w:rPr>
          <w:rFonts w:hint="eastAsia" w:ascii="仿宋_GB2312" w:hAnsi="仿宋_GB2312" w:eastAsia="仿宋_GB2312"/>
          <w:b w:val="0"/>
          <w:bCs w:val="0"/>
          <w:color w:val="000000"/>
          <w:sz w:val="32"/>
          <w:lang w:val="zh-CN"/>
        </w:rPr>
        <w:t>、助行、</w:t>
      </w:r>
      <w:r>
        <w:rPr>
          <w:rFonts w:hint="eastAsia" w:ascii="仿宋_GB2312" w:hAnsi="仿宋_GB2312" w:eastAsia="仿宋_GB2312"/>
          <w:b w:val="0"/>
          <w:bCs w:val="0"/>
          <w:color w:val="000000"/>
          <w:sz w:val="32"/>
          <w:lang w:val="en-US" w:eastAsia="zh-CN"/>
        </w:rPr>
        <w:t>上门照护</w:t>
      </w:r>
      <w:r>
        <w:rPr>
          <w:rFonts w:hint="eastAsia" w:ascii="仿宋_GB2312" w:hAnsi="仿宋_GB2312" w:eastAsia="仿宋_GB2312"/>
          <w:b w:val="0"/>
          <w:bCs w:val="0"/>
          <w:color w:val="000000"/>
          <w:sz w:val="32"/>
          <w:lang w:val="zh-CN"/>
        </w:rPr>
        <w:t>等</w:t>
      </w:r>
      <w:r>
        <w:rPr>
          <w:rFonts w:hint="eastAsia" w:ascii="仿宋_GB2312" w:hAnsi="仿宋_GB2312" w:eastAsia="仿宋_GB2312"/>
          <w:b w:val="0"/>
          <w:bCs w:val="0"/>
          <w:color w:val="000000"/>
          <w:sz w:val="32"/>
          <w:lang w:val="en-US" w:eastAsia="zh-CN"/>
        </w:rPr>
        <w:t>为老服务</w:t>
      </w:r>
      <w:r>
        <w:rPr>
          <w:rFonts w:hint="eastAsia" w:ascii="仿宋_GB2312" w:hAnsi="仿宋_GB2312" w:eastAsia="仿宋_GB2312"/>
          <w:b w:val="0"/>
          <w:bCs w:val="0"/>
          <w:color w:val="000000"/>
          <w:sz w:val="32"/>
          <w:lang w:val="zh-CN"/>
        </w:rPr>
        <w:t>。</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rPr>
        <w:t>2</w:t>
      </w:r>
      <w:r>
        <w:rPr>
          <w:rFonts w:hint="eastAsia" w:ascii="仿宋_GB2312" w:hAnsi="仿宋_GB2312" w:eastAsia="仿宋_GB2312"/>
          <w:b w:val="0"/>
          <w:bCs w:val="0"/>
          <w:color w:val="000000"/>
          <w:sz w:val="32"/>
          <w:lang w:val="zh-CN"/>
        </w:rPr>
        <w:t>）紧急救援服务：提供应急救助或紧急救援服务。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en-US" w:eastAsia="zh-CN"/>
        </w:rPr>
        <w:t>3.</w:t>
      </w:r>
      <w:r>
        <w:rPr>
          <w:rFonts w:hint="eastAsia" w:ascii="仿宋_GB2312" w:hAnsi="仿宋_GB2312" w:eastAsia="仿宋_GB2312"/>
          <w:b w:val="0"/>
          <w:bCs w:val="0"/>
          <w:color w:val="000000"/>
          <w:sz w:val="32"/>
          <w:lang w:val="zh-CN"/>
        </w:rPr>
        <w:t>“照料中心”</w:t>
      </w:r>
      <w:r>
        <w:rPr>
          <w:rFonts w:hint="eastAsia" w:ascii="仿宋_GB2312" w:hAnsi="仿宋_GB2312" w:eastAsia="仿宋_GB2312"/>
          <w:b w:val="0"/>
          <w:bCs w:val="0"/>
          <w:color w:val="000000"/>
          <w:sz w:val="32"/>
          <w:lang w:val="en-US" w:eastAsia="zh-CN"/>
        </w:rPr>
        <w:t>可无偿或低偿为有需求的老人</w:t>
      </w:r>
      <w:r>
        <w:rPr>
          <w:rFonts w:hint="eastAsia" w:ascii="仿宋_GB2312" w:hAnsi="仿宋_GB2312" w:eastAsia="仿宋_GB2312"/>
          <w:b w:val="0"/>
          <w:bCs w:val="0"/>
          <w:color w:val="000000"/>
          <w:sz w:val="32"/>
          <w:lang w:val="zh-CN"/>
        </w:rPr>
        <w:t>提供休闲娱乐、图书阅览、知识讲座、聊天谈心、法律维权、健康档案、</w:t>
      </w:r>
      <w:r>
        <w:rPr>
          <w:rFonts w:hint="eastAsia" w:ascii="仿宋_GB2312" w:hAnsi="仿宋_GB2312" w:eastAsia="仿宋_GB2312"/>
          <w:b w:val="0"/>
          <w:bCs w:val="0"/>
          <w:color w:val="000000"/>
          <w:sz w:val="32"/>
          <w:lang w:val="en-US" w:eastAsia="zh-CN"/>
        </w:rPr>
        <w:t>养生保健、社区公益</w:t>
      </w:r>
      <w:r>
        <w:rPr>
          <w:rFonts w:hint="eastAsia" w:ascii="仿宋_GB2312" w:hAnsi="仿宋_GB2312" w:eastAsia="仿宋_GB2312"/>
          <w:b w:val="0"/>
          <w:bCs w:val="0"/>
          <w:color w:val="000000"/>
          <w:sz w:val="32"/>
          <w:lang w:val="zh-CN"/>
        </w:rPr>
        <w:t>等服务</w:t>
      </w:r>
      <w:r>
        <w:rPr>
          <w:rFonts w:hint="eastAsia" w:ascii="仿宋_GB2312" w:hAnsi="仿宋_GB2312" w:eastAsia="仿宋_GB2312"/>
          <w:b w:val="0"/>
          <w:bCs w:val="0"/>
          <w:color w:val="000000"/>
          <w:sz w:val="32"/>
          <w:lang w:val="en-US" w:eastAsia="zh-CN"/>
        </w:rPr>
        <w:t>或活动</w:t>
      </w:r>
      <w:r>
        <w:rPr>
          <w:rFonts w:hint="eastAsia" w:ascii="仿宋_GB2312" w:hAnsi="仿宋_GB2312" w:eastAsia="仿宋_GB2312"/>
          <w:b w:val="0"/>
          <w:bCs w:val="0"/>
          <w:color w:val="000000"/>
          <w:sz w:val="32"/>
          <w:lang w:val="zh-CN"/>
        </w:rPr>
        <w:t>项目。</w:t>
      </w:r>
    </w:p>
    <w:p>
      <w:pPr>
        <w:keepNext w:val="0"/>
        <w:keepLines w:val="0"/>
        <w:pageBreakBefore w:val="0"/>
        <w:numPr>
          <w:ilvl w:val="0"/>
          <w:numId w:val="0"/>
        </w:numPr>
        <w:kinsoku/>
        <w:wordWrap/>
        <w:overflowPunct/>
        <w:topLinePunct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乙方开展的有偿服务项目应提供优惠价格，并将收费标准公开在照料中心明显位置。乙方在承包期间如需提高</w:t>
      </w:r>
      <w:r>
        <w:rPr>
          <w:rFonts w:hint="eastAsia" w:ascii="仿宋_GB2312" w:hAnsi="仿宋_GB2312" w:eastAsia="仿宋_GB2312"/>
          <w:b w:val="0"/>
          <w:bCs w:val="0"/>
          <w:color w:val="000000"/>
          <w:sz w:val="32"/>
          <w:lang w:val="en-US" w:eastAsia="zh-CN"/>
        </w:rPr>
        <w:t>照料中心各项有偿服务项目</w:t>
      </w:r>
      <w:r>
        <w:rPr>
          <w:rFonts w:hint="eastAsia" w:ascii="仿宋_GB2312" w:hAnsi="仿宋_GB2312" w:eastAsia="仿宋_GB2312"/>
          <w:b w:val="0"/>
          <w:bCs w:val="0"/>
          <w:color w:val="000000"/>
          <w:sz w:val="32"/>
          <w:lang w:val="zh-CN"/>
        </w:rPr>
        <w:t>收费标准，应书面报请甲方，由甲方审批后方可执行。</w:t>
      </w:r>
    </w:p>
    <w:p>
      <w:pPr>
        <w:keepNext w:val="0"/>
        <w:keepLines w:val="0"/>
        <w:pageBreakBefore w:val="0"/>
        <w:numPr>
          <w:ilvl w:val="0"/>
          <w:numId w:val="0"/>
        </w:numPr>
        <w:kinsoku/>
        <w:wordWrap/>
        <w:overflowPunct/>
        <w:topLinePunct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en-US" w:eastAsia="zh-CN"/>
        </w:rPr>
        <w:t>4.</w:t>
      </w:r>
      <w:r>
        <w:rPr>
          <w:rFonts w:hint="eastAsia" w:ascii="仿宋_GB2312" w:hAnsi="仿宋_GB2312" w:eastAsia="仿宋_GB2312" w:cs="仿宋_GB2312"/>
          <w:b w:val="0"/>
          <w:bCs w:val="0"/>
          <w:color w:val="000000"/>
          <w:sz w:val="32"/>
          <w:szCs w:val="32"/>
          <w:lang w:val="en-US" w:eastAsia="zh-CN"/>
        </w:rPr>
        <w:t>负责开办“长者食堂”，为长者提供就餐、送餐服务。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楷体_GB2312" w:hAnsi="楷体_GB2312" w:eastAsia="楷体_GB2312" w:cs="楷体_GB2312"/>
          <w:b w:val="0"/>
          <w:bCs w:val="0"/>
          <w:color w:val="000000"/>
          <w:sz w:val="32"/>
          <w:lang w:val="zh-CN"/>
        </w:rPr>
      </w:pPr>
      <w:r>
        <w:rPr>
          <w:rFonts w:hint="eastAsia" w:ascii="楷体_GB2312" w:hAnsi="楷体_GB2312" w:eastAsia="楷体_GB2312" w:cs="楷体_GB2312"/>
          <w:b w:val="0"/>
          <w:bCs w:val="0"/>
          <w:color w:val="000000"/>
          <w:sz w:val="32"/>
          <w:lang w:val="zh-CN"/>
        </w:rPr>
        <w:t>（三）服务标准</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黑体" w:hAnsi="黑体" w:eastAsia="黑体" w:cs="黑体"/>
          <w:b w:val="0"/>
          <w:bCs w:val="0"/>
          <w:color w:val="000000"/>
          <w:sz w:val="32"/>
          <w:lang w:val="zh-CN"/>
        </w:rPr>
      </w:pPr>
      <w:r>
        <w:rPr>
          <w:rFonts w:hint="eastAsia" w:ascii="仿宋_GB2312" w:hAnsi="仿宋_GB2312" w:eastAsia="仿宋_GB2312"/>
          <w:b w:val="0"/>
          <w:bCs w:val="0"/>
          <w:color w:val="000000"/>
          <w:sz w:val="32"/>
          <w:lang w:val="zh-CN"/>
        </w:rPr>
        <w:t>乙方承包期间应严格按照《福建省社区居家养老服务照料中心星级评定标准（试行）》（闽民福〔</w:t>
      </w:r>
      <w:r>
        <w:rPr>
          <w:rFonts w:ascii="仿宋_GB2312" w:hAnsi="仿宋_GB2312" w:eastAsia="仿宋_GB2312"/>
          <w:b w:val="0"/>
          <w:bCs w:val="0"/>
          <w:color w:val="000000"/>
          <w:sz w:val="32"/>
          <w:lang w:val="zh-CN"/>
        </w:rPr>
        <w:t>2017</w:t>
      </w: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66</w:t>
      </w:r>
      <w:r>
        <w:rPr>
          <w:rFonts w:hint="eastAsia" w:ascii="仿宋_GB2312" w:hAnsi="仿宋_GB2312" w:eastAsia="仿宋_GB2312"/>
          <w:b w:val="0"/>
          <w:bCs w:val="0"/>
          <w:color w:val="000000"/>
          <w:sz w:val="32"/>
          <w:lang w:val="zh-CN"/>
        </w:rPr>
        <w:t>号）的五星标准进行</w:t>
      </w:r>
      <w:r>
        <w:rPr>
          <w:rFonts w:hint="eastAsia" w:ascii="仿宋_GB2312" w:hAnsi="仿宋_GB2312" w:eastAsia="仿宋_GB2312"/>
          <w:b w:val="0"/>
          <w:bCs w:val="0"/>
          <w:color w:val="000000"/>
          <w:sz w:val="32"/>
        </w:rPr>
        <w:t>设置，包括</w:t>
      </w:r>
      <w:r>
        <w:rPr>
          <w:rFonts w:hint="eastAsia" w:ascii="仿宋_GB2312" w:hAnsi="仿宋_GB2312" w:eastAsia="仿宋_GB2312"/>
          <w:b w:val="0"/>
          <w:bCs w:val="0"/>
          <w:color w:val="000000"/>
          <w:sz w:val="32"/>
          <w:lang w:val="zh-CN"/>
        </w:rPr>
        <w:t>装修</w:t>
      </w:r>
      <w:r>
        <w:rPr>
          <w:rFonts w:hint="eastAsia" w:ascii="仿宋_GB2312" w:hAnsi="仿宋_GB2312" w:eastAsia="仿宋_GB2312"/>
          <w:b w:val="0"/>
          <w:bCs w:val="0"/>
          <w:color w:val="000000"/>
          <w:sz w:val="32"/>
        </w:rPr>
        <w:t>设计</w:t>
      </w: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rPr>
        <w:t>功能</w:t>
      </w:r>
      <w:r>
        <w:rPr>
          <w:rFonts w:hint="eastAsia" w:ascii="仿宋_GB2312" w:hAnsi="仿宋_GB2312" w:eastAsia="仿宋_GB2312"/>
          <w:b w:val="0"/>
          <w:bCs w:val="0"/>
          <w:color w:val="000000"/>
          <w:sz w:val="32"/>
          <w:lang w:val="zh-CN"/>
        </w:rPr>
        <w:t>配置、聘用人员</w:t>
      </w:r>
      <w:r>
        <w:rPr>
          <w:rFonts w:hint="eastAsia" w:ascii="仿宋_GB2312" w:hAnsi="仿宋_GB2312" w:eastAsia="仿宋_GB2312"/>
          <w:b w:val="0"/>
          <w:bCs w:val="0"/>
          <w:color w:val="000000"/>
          <w:sz w:val="32"/>
        </w:rPr>
        <w:t>及</w:t>
      </w:r>
      <w:r>
        <w:rPr>
          <w:rFonts w:hint="eastAsia" w:ascii="仿宋_GB2312" w:hAnsi="仿宋_GB2312" w:eastAsia="仿宋_GB2312"/>
          <w:b w:val="0"/>
          <w:bCs w:val="0"/>
          <w:color w:val="000000"/>
          <w:sz w:val="32"/>
          <w:lang w:val="zh-CN"/>
        </w:rPr>
        <w:t>医疗设施等。逐步提高服务质量，并按照甲、乙双方协商议定</w:t>
      </w:r>
      <w:r>
        <w:rPr>
          <w:rFonts w:hint="eastAsia" w:ascii="仿宋_GB2312" w:hAnsi="仿宋_GB2312" w:eastAsia="仿宋_GB2312"/>
          <w:b w:val="0"/>
          <w:bCs w:val="0"/>
          <w:color w:val="000000"/>
          <w:sz w:val="32"/>
        </w:rPr>
        <w:t>的</w:t>
      </w:r>
      <w:r>
        <w:rPr>
          <w:rFonts w:hint="eastAsia" w:ascii="仿宋_GB2312" w:hAnsi="仿宋_GB2312" w:eastAsia="仿宋_GB2312"/>
          <w:b w:val="0"/>
          <w:bCs w:val="0"/>
          <w:color w:val="000000"/>
          <w:sz w:val="32"/>
          <w:lang w:val="zh-CN"/>
        </w:rPr>
        <w:t>《建设和运营方案》（附件1）履行承诺事项。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黑体" w:hAnsi="黑体" w:eastAsia="黑体" w:cs="黑体"/>
          <w:b w:val="0"/>
          <w:bCs w:val="0"/>
          <w:color w:val="000000"/>
          <w:sz w:val="32"/>
          <w:lang w:val="zh-CN"/>
        </w:rPr>
      </w:pPr>
      <w:r>
        <w:rPr>
          <w:rFonts w:hint="eastAsia" w:ascii="黑体" w:hAnsi="黑体" w:eastAsia="黑体" w:cs="黑体"/>
          <w:b w:val="0"/>
          <w:bCs w:val="0"/>
          <w:color w:val="000000"/>
          <w:sz w:val="32"/>
          <w:lang w:val="zh-CN"/>
        </w:rPr>
        <w:t>二、运营方式</w:t>
      </w:r>
    </w:p>
    <w:p>
      <w:pPr>
        <w:keepNext w:val="0"/>
        <w:keepLines w:val="0"/>
        <w:pageBreakBefore w:val="0"/>
        <w:kinsoku/>
        <w:wordWrap/>
        <w:overflowPunct/>
        <w:topLinePunct w:val="0"/>
        <w:bidi w:val="0"/>
        <w:adjustRightInd/>
        <w:snapToGrid/>
        <w:spacing w:line="560" w:lineRule="exact"/>
        <w:ind w:firstLine="616" w:firstLineChars="200"/>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zh-CN"/>
        </w:rPr>
        <w:t>承包经营期。</w:t>
      </w:r>
      <w:r>
        <w:rPr>
          <w:rFonts w:hint="eastAsia" w:ascii="仿宋_GB2312" w:hAnsi="仿宋_GB2312" w:eastAsia="仿宋_GB2312"/>
          <w:b w:val="0"/>
          <w:bCs w:val="0"/>
          <w:color w:val="000000"/>
          <w:sz w:val="32"/>
          <w:lang w:val="en-US" w:eastAsia="zh-CN"/>
        </w:rPr>
        <w:t>承包期为三年，甲方每年须对乙方运营情况进行年度考核</w:t>
      </w:r>
      <w:r>
        <w:rPr>
          <w:rFonts w:hint="eastAsia" w:ascii="仿宋_GB2312" w:hAnsi="仿宋_GB2312" w:eastAsia="仿宋_GB2312"/>
          <w:b w:val="0"/>
          <w:bCs w:val="0"/>
          <w:color w:val="000000"/>
          <w:sz w:val="32"/>
          <w:lang w:val="zh-CN"/>
        </w:rPr>
        <w:t>。</w:t>
      </w:r>
    </w:p>
    <w:p>
      <w:pPr>
        <w:keepNext w:val="0"/>
        <w:keepLines w:val="0"/>
        <w:pageBreakBefore w:val="0"/>
        <w:kinsoku/>
        <w:wordWrap/>
        <w:overflowPunct/>
        <w:topLinePunct w:val="0"/>
        <w:bidi w:val="0"/>
        <w:adjustRightInd/>
        <w:snapToGrid/>
        <w:spacing w:line="560" w:lineRule="exact"/>
        <w:ind w:firstLine="616" w:firstLineChars="200"/>
        <w:rPr>
          <w:rFonts w:hint="default" w:ascii="仿宋_GB2312" w:hAnsi="仿宋_GB2312" w:eastAsia="仿宋_GB2312"/>
          <w:b w:val="0"/>
          <w:bCs w:val="0"/>
          <w:color w:val="000000"/>
          <w:sz w:val="32"/>
          <w:lang w:val="en-US"/>
        </w:rPr>
      </w:pPr>
      <w:r>
        <w:rPr>
          <w:rFonts w:hint="eastAsia" w:ascii="仿宋_GB2312" w:hAnsi="仿宋_GB2312" w:eastAsia="仿宋_GB2312"/>
          <w:b w:val="0"/>
          <w:bCs w:val="0"/>
          <w:color w:val="000000"/>
          <w:sz w:val="32"/>
          <w:lang w:val="en-US" w:eastAsia="zh-CN"/>
        </w:rPr>
        <w:t>2</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甲方负责提供场所，乙方负责照料中心软装改造和设备投放。合同期内，乙方因经营需要或因维护检修设备（如后期消防改造）等原因而产生费用的，全部由乙方承担。若由乙方负责照料中心场所硬装及软装，乙方则需将装修设计方案报甲方审核同意后，方可进场装修改造。</w:t>
      </w:r>
    </w:p>
    <w:p>
      <w:pPr>
        <w:keepNext w:val="0"/>
        <w:keepLines w:val="0"/>
        <w:pageBreakBefore w:val="0"/>
        <w:kinsoku/>
        <w:wordWrap/>
        <w:overflowPunct/>
        <w:topLinePunct w:val="0"/>
        <w:bidi w:val="0"/>
        <w:adjustRightInd/>
        <w:snapToGrid/>
        <w:spacing w:line="560" w:lineRule="exact"/>
        <w:ind w:firstLine="616" w:firstLineChars="200"/>
        <w:rPr>
          <w:rFonts w:hint="eastAsia"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en-US" w:eastAsia="zh-CN"/>
        </w:rPr>
        <w:t>3</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承包期内涉及的属于服务对象、运营补贴、床位补助等政府补助归乙方所有。</w:t>
      </w:r>
    </w:p>
    <w:p>
      <w:pPr>
        <w:keepNext w:val="0"/>
        <w:keepLines w:val="0"/>
        <w:pageBreakBefore w:val="0"/>
        <w:kinsoku/>
        <w:wordWrap/>
        <w:overflowPunct/>
        <w:topLinePunct w:val="0"/>
        <w:bidi w:val="0"/>
        <w:adjustRightInd/>
        <w:snapToGrid/>
        <w:spacing w:line="560" w:lineRule="exact"/>
        <w:ind w:firstLine="616" w:firstLineChars="200"/>
        <w:rPr>
          <w:rFonts w:hint="default" w:ascii="仿宋_GB2312" w:hAnsi="仿宋_GB2312" w:eastAsia="仿宋_GB2312"/>
          <w:b w:val="0"/>
          <w:bCs w:val="0"/>
          <w:color w:val="000000"/>
          <w:sz w:val="32"/>
          <w:lang w:val="en-US" w:eastAsia="zh-CN"/>
        </w:rPr>
      </w:pPr>
      <w:r>
        <w:rPr>
          <w:rFonts w:hint="eastAsia" w:ascii="仿宋_GB2312" w:hAnsi="仿宋_GB2312" w:eastAsia="仿宋_GB2312"/>
          <w:b w:val="0"/>
          <w:bCs w:val="0"/>
          <w:color w:val="000000"/>
          <w:sz w:val="32"/>
          <w:lang w:val="en-US" w:eastAsia="zh-CN"/>
        </w:rPr>
        <w:t>4.政府购买服务兑付。乙方承接政府购买服务，为老人提供上门服务。根据满意度情况，经甲方核实工单后，据实定期兑付政府购买服务经费。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u w:val="single"/>
          <w:lang w:val="zh-CN"/>
        </w:rPr>
      </w:pPr>
      <w:r>
        <w:rPr>
          <w:rFonts w:hint="eastAsia" w:ascii="仿宋_GB2312" w:hAnsi="仿宋_GB2312" w:eastAsia="仿宋_GB2312"/>
          <w:b w:val="0"/>
          <w:bCs w:val="0"/>
          <w:color w:val="000000"/>
          <w:sz w:val="32"/>
          <w:lang w:val="en-US" w:eastAsia="zh-CN"/>
        </w:rPr>
        <w:t>5</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经营支出及收入。照料中心由乙方自主经营（以开展</w:t>
      </w:r>
      <w:r>
        <w:rPr>
          <w:rFonts w:hint="eastAsia" w:ascii="仿宋_GB2312" w:hAnsi="仿宋_GB2312" w:eastAsia="仿宋_GB2312"/>
          <w:b w:val="0"/>
          <w:bCs w:val="0"/>
          <w:color w:val="000000"/>
          <w:sz w:val="32"/>
          <w:lang w:val="en-US" w:eastAsia="zh-CN"/>
        </w:rPr>
        <w:t>微利</w:t>
      </w:r>
      <w:r>
        <w:rPr>
          <w:rFonts w:hint="eastAsia" w:ascii="仿宋_GB2312" w:hAnsi="仿宋_GB2312" w:eastAsia="仿宋_GB2312"/>
          <w:b w:val="0"/>
          <w:bCs w:val="0"/>
          <w:color w:val="000000"/>
          <w:sz w:val="32"/>
          <w:lang w:val="zh-CN"/>
        </w:rPr>
        <w:t>市场化</w:t>
      </w:r>
      <w:r>
        <w:rPr>
          <w:rFonts w:hint="eastAsia" w:ascii="仿宋_GB2312" w:hAnsi="仿宋_GB2312" w:eastAsia="仿宋_GB2312"/>
          <w:b w:val="0"/>
          <w:bCs w:val="0"/>
          <w:color w:val="000000"/>
          <w:sz w:val="32"/>
          <w:szCs w:val="28"/>
          <w:lang w:val="zh-CN"/>
        </w:rPr>
        <w:t>的养老服务为主</w:t>
      </w:r>
      <w:r>
        <w:rPr>
          <w:rFonts w:hint="eastAsia" w:ascii="仿宋_GB2312" w:hAnsi="仿宋_GB2312" w:eastAsia="仿宋_GB2312"/>
          <w:b w:val="0"/>
          <w:bCs w:val="0"/>
          <w:color w:val="000000"/>
          <w:sz w:val="32"/>
          <w:lang w:val="zh-CN"/>
        </w:rPr>
        <w:t>），经营收入全额归乙方所有。照料中心日常各项开支（包括物业费、水电费、网络通讯费、维修费和人员工资等）由乙方自行承担。</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黑体" w:hAnsi="黑体" w:eastAsia="黑体" w:cs="黑体"/>
          <w:b w:val="0"/>
          <w:bCs w:val="0"/>
          <w:color w:val="000000"/>
          <w:sz w:val="32"/>
          <w:lang w:val="zh-CN"/>
        </w:rPr>
      </w:pPr>
      <w:r>
        <w:rPr>
          <w:rFonts w:hint="eastAsia" w:ascii="黑体" w:hAnsi="黑体" w:eastAsia="黑体" w:cs="黑体"/>
          <w:b w:val="0"/>
          <w:bCs w:val="0"/>
          <w:color w:val="000000"/>
          <w:sz w:val="32"/>
          <w:lang w:val="zh-CN"/>
        </w:rPr>
        <w:t>三、权利义务</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楷体_GB2312" w:hAnsi="楷体_GB2312" w:eastAsia="楷体_GB2312" w:cs="楷体_GB2312"/>
          <w:b w:val="0"/>
          <w:bCs w:val="0"/>
          <w:color w:val="000000"/>
          <w:sz w:val="32"/>
          <w:lang w:val="zh-CN"/>
        </w:rPr>
      </w:pPr>
      <w:r>
        <w:rPr>
          <w:rFonts w:hint="eastAsia" w:ascii="楷体_GB2312" w:hAnsi="楷体_GB2312" w:eastAsia="楷体_GB2312" w:cs="楷体_GB2312"/>
          <w:b w:val="0"/>
          <w:bCs w:val="0"/>
          <w:color w:val="000000"/>
          <w:sz w:val="32"/>
          <w:lang w:val="zh-CN"/>
        </w:rPr>
        <w:t>（一）甲方：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ascii="仿宋_GB2312" w:hAnsi="仿宋_GB2312" w:eastAsia="仿宋_GB2312"/>
          <w:b w:val="0"/>
          <w:bCs w:val="0"/>
          <w:color w:val="000000"/>
          <w:sz w:val="32"/>
        </w:rPr>
        <w:t>1.</w:t>
      </w:r>
      <w:r>
        <w:rPr>
          <w:rFonts w:hint="eastAsia" w:ascii="仿宋_GB2312" w:hAnsi="仿宋_GB2312" w:eastAsia="仿宋_GB2312"/>
          <w:b w:val="0"/>
          <w:bCs w:val="0"/>
          <w:color w:val="000000"/>
          <w:sz w:val="32"/>
        </w:rPr>
        <w:t>甲方作为业主，依照国家的法律法规和行政管辖职能有对乙方经营管理进行指导、监督、检查，并提出整改意见的权利。有权根据本合同对乙方履约情况进行跟踪和考核。</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ascii="仿宋_GB2312" w:hAnsi="仿宋_GB2312" w:eastAsia="仿宋_GB2312"/>
          <w:b w:val="0"/>
          <w:bCs w:val="0"/>
          <w:color w:val="000000"/>
          <w:sz w:val="32"/>
        </w:rPr>
        <w:t>2.</w:t>
      </w:r>
      <w:r>
        <w:rPr>
          <w:rFonts w:hint="eastAsia" w:ascii="仿宋_GB2312" w:hAnsi="仿宋_GB2312" w:eastAsia="仿宋_GB2312"/>
          <w:b w:val="0"/>
          <w:bCs w:val="0"/>
          <w:color w:val="000000"/>
          <w:sz w:val="32"/>
        </w:rPr>
        <w:t>甲方有权定期或不定期对照料中心的消防安全、设备使用、管理制度、服务质量、老人满意度等多方面进行检查，对存在的问题提出整改意见。</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ascii="仿宋_GB2312" w:hAnsi="仿宋_GB2312" w:eastAsia="仿宋_GB2312"/>
          <w:b w:val="0"/>
          <w:bCs w:val="0"/>
          <w:color w:val="000000"/>
          <w:sz w:val="32"/>
        </w:rPr>
        <w:t>3.</w:t>
      </w:r>
      <w:r>
        <w:rPr>
          <w:rFonts w:hint="eastAsia" w:ascii="仿宋_GB2312" w:hAnsi="仿宋_GB2312" w:eastAsia="仿宋_GB2312"/>
          <w:b w:val="0"/>
          <w:bCs w:val="0"/>
          <w:color w:val="000000"/>
          <w:sz w:val="32"/>
          <w:lang w:val="zh-CN"/>
        </w:rPr>
        <w:t>甲方有权对乙方服务</w:t>
      </w:r>
      <w:r>
        <w:rPr>
          <w:rFonts w:hint="eastAsia" w:ascii="仿宋_GB2312" w:hAnsi="仿宋_GB2312" w:eastAsia="仿宋_GB2312"/>
          <w:b w:val="0"/>
          <w:bCs w:val="0"/>
          <w:color w:val="000000"/>
          <w:sz w:val="32"/>
        </w:rPr>
        <w:t>质量</w:t>
      </w:r>
      <w:r>
        <w:rPr>
          <w:rFonts w:hint="eastAsia" w:ascii="仿宋_GB2312" w:hAnsi="仿宋_GB2312" w:eastAsia="仿宋_GB2312"/>
          <w:b w:val="0"/>
          <w:bCs w:val="0"/>
          <w:color w:val="000000"/>
          <w:sz w:val="32"/>
          <w:lang w:val="zh-CN"/>
        </w:rPr>
        <w:t>进行跟踪监督，并有权责令乙方整改。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ascii="仿宋_GB2312" w:hAnsi="仿宋_GB2312" w:eastAsia="仿宋_GB2312"/>
          <w:b w:val="0"/>
          <w:bCs w:val="0"/>
          <w:color w:val="000000"/>
          <w:sz w:val="32"/>
        </w:rPr>
        <w:t>4.</w:t>
      </w:r>
      <w:r>
        <w:rPr>
          <w:rFonts w:hint="eastAsia" w:ascii="仿宋_GB2312" w:hAnsi="仿宋_GB2312" w:eastAsia="仿宋_GB2312"/>
          <w:b w:val="0"/>
          <w:bCs w:val="0"/>
          <w:color w:val="000000"/>
          <w:sz w:val="32"/>
        </w:rPr>
        <w:t>甲方及区有关部门有权对乙方承包期间的运营情况进行综合考评。参照《鼓楼区社区居家养老服务照料中心考评办法》（附件3），</w:t>
      </w:r>
      <w:r>
        <w:rPr>
          <w:rFonts w:hint="eastAsia" w:ascii="仿宋_GB2312" w:hAnsi="仿宋_GB2312" w:eastAsia="仿宋_GB2312"/>
          <w:b w:val="0"/>
          <w:bCs w:val="0"/>
          <w:color w:val="000000"/>
          <w:sz w:val="32"/>
          <w:lang w:val="en-US" w:eastAsia="zh-CN"/>
        </w:rPr>
        <w:t>甲方通过年度考评或交托</w:t>
      </w:r>
      <w:r>
        <w:rPr>
          <w:rFonts w:hint="eastAsia" w:ascii="仿宋_GB2312" w:hAnsi="仿宋_GB2312" w:eastAsia="仿宋_GB2312"/>
          <w:b w:val="0"/>
          <w:bCs w:val="0"/>
          <w:color w:val="000000"/>
          <w:sz w:val="32"/>
        </w:rPr>
        <w:t>第三方评估等方式，每年至少实施</w:t>
      </w:r>
      <w:r>
        <w:rPr>
          <w:rFonts w:ascii="仿宋_GB2312" w:hAnsi="仿宋_GB2312" w:eastAsia="仿宋_GB2312"/>
          <w:b w:val="0"/>
          <w:bCs w:val="0"/>
          <w:color w:val="000000"/>
          <w:sz w:val="32"/>
        </w:rPr>
        <w:t>1</w:t>
      </w:r>
      <w:r>
        <w:rPr>
          <w:rFonts w:hint="eastAsia" w:ascii="仿宋_GB2312" w:hAnsi="仿宋_GB2312" w:eastAsia="仿宋_GB2312"/>
          <w:b w:val="0"/>
          <w:bCs w:val="0"/>
          <w:color w:val="000000"/>
          <w:sz w:val="32"/>
        </w:rPr>
        <w:t>次考评。考评结果和日常监管情况将作为</w:t>
      </w:r>
      <w:r>
        <w:rPr>
          <w:rFonts w:hint="eastAsia" w:ascii="仿宋_GB2312" w:hAnsi="宋体" w:eastAsia="仿宋_GB2312"/>
          <w:b w:val="0"/>
          <w:bCs w:val="0"/>
          <w:color w:val="000000"/>
          <w:sz w:val="32"/>
          <w:szCs w:val="32"/>
          <w:lang w:val="en-US" w:eastAsia="zh-CN"/>
        </w:rPr>
        <w:t>下拨省市区</w:t>
      </w:r>
      <w:r>
        <w:rPr>
          <w:rFonts w:hint="eastAsia" w:ascii="仿宋_GB2312" w:hAnsi="宋体" w:eastAsia="仿宋_GB2312"/>
          <w:b w:val="0"/>
          <w:bCs w:val="0"/>
          <w:color w:val="000000"/>
          <w:sz w:val="32"/>
          <w:szCs w:val="32"/>
        </w:rPr>
        <w:t>各类运营补贴的依据</w:t>
      </w:r>
      <w:r>
        <w:rPr>
          <w:rFonts w:hint="eastAsia" w:ascii="仿宋_GB2312" w:hAnsi="仿宋_GB2312" w:eastAsia="仿宋_GB2312"/>
          <w:b w:val="0"/>
          <w:bCs w:val="0"/>
          <w:color w:val="000000"/>
          <w:sz w:val="32"/>
        </w:rPr>
        <w:t>。若因乙方服务质量差、被客户大量投诉后仍然无法整改到位的，甲方有权解除本合同，重新选取新承包经营方。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ascii="仿宋_GB2312" w:hAnsi="仿宋_GB2312" w:eastAsia="仿宋_GB2312"/>
          <w:b w:val="0"/>
          <w:bCs w:val="0"/>
          <w:color w:val="000000"/>
          <w:sz w:val="32"/>
        </w:rPr>
        <w:t>5.</w:t>
      </w:r>
      <w:r>
        <w:rPr>
          <w:rFonts w:hint="eastAsia" w:ascii="仿宋_GB2312" w:hAnsi="仿宋_GB2312" w:eastAsia="仿宋_GB2312"/>
          <w:b w:val="0"/>
          <w:bCs w:val="0"/>
          <w:color w:val="000000"/>
          <w:sz w:val="32"/>
        </w:rPr>
        <w:t>若甲方对乙方服务质量满意，甲方将协助或指导乙方申请国家及省市区各项荣誉和奖励政策。</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（二）</w:t>
      </w:r>
      <w:r>
        <w:rPr>
          <w:rFonts w:hint="eastAsia" w:ascii="楷体_GB2312" w:hAnsi="楷体_GB2312" w:eastAsia="楷体_GB2312" w:cs="楷体_GB2312"/>
          <w:b w:val="0"/>
          <w:bCs w:val="0"/>
          <w:color w:val="000000"/>
          <w:sz w:val="32"/>
          <w:lang w:val="zh-CN"/>
        </w:rPr>
        <w:t>乙方：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zh-CN"/>
        </w:rPr>
        <w:t>乙方应每月按时向甲方提供开展服务工作的详细资料（含</w:t>
      </w:r>
      <w:r>
        <w:rPr>
          <w:rFonts w:hint="eastAsia" w:ascii="仿宋_GB2312" w:hAnsi="仿宋_GB2312" w:eastAsia="仿宋_GB2312"/>
          <w:b w:val="0"/>
          <w:bCs w:val="0"/>
          <w:color w:val="000000"/>
          <w:sz w:val="32"/>
          <w:lang w:val="en-US" w:eastAsia="zh-CN"/>
        </w:rPr>
        <w:t>照料中心及政府购买服务等相关信息</w:t>
      </w:r>
      <w:r>
        <w:rPr>
          <w:rFonts w:hint="eastAsia" w:ascii="仿宋_GB2312" w:hAnsi="仿宋_GB2312" w:eastAsia="仿宋_GB2312"/>
          <w:b w:val="0"/>
          <w:bCs w:val="0"/>
          <w:color w:val="000000"/>
          <w:sz w:val="32"/>
          <w:lang w:val="zh-CN"/>
        </w:rPr>
        <w:t>）。</w:t>
      </w:r>
    </w:p>
    <w:p>
      <w:pPr>
        <w:keepNext w:val="0"/>
        <w:keepLines w:val="0"/>
        <w:pageBreakBefore w:val="0"/>
        <w:numPr>
          <w:ilvl w:val="0"/>
          <w:numId w:val="0"/>
        </w:numPr>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rPr>
        <w:t>2.</w:t>
      </w:r>
      <w:r>
        <w:rPr>
          <w:rFonts w:hint="eastAsia" w:ascii="仿宋_GB2312" w:hAnsi="仿宋_GB2312" w:eastAsia="仿宋_GB2312"/>
          <w:b w:val="0"/>
          <w:bCs w:val="0"/>
          <w:color w:val="000000"/>
          <w:sz w:val="32"/>
          <w:lang w:val="zh-CN"/>
        </w:rPr>
        <w:t>乙方应主动接受甲方业务指导和监督管理。乙方承包经营过程中出现重大事故，或甲方接到有效投诉，乙方出现虐待老人、变相收费、擅自涨价等不良行为的，</w:t>
      </w:r>
      <w:r>
        <w:rPr>
          <w:rFonts w:hint="eastAsia" w:ascii="仿宋" w:hAnsi="仿宋" w:eastAsia="仿宋" w:cs="仿宋"/>
          <w:b w:val="0"/>
          <w:bCs w:val="0"/>
          <w:color w:val="000000"/>
          <w:sz w:val="32"/>
          <w:szCs w:val="32"/>
        </w:rPr>
        <w:t>甲方有权要求乙方限期整改并对整改结果进行考核评估。</w:t>
      </w:r>
    </w:p>
    <w:p>
      <w:pPr>
        <w:keepNext w:val="0"/>
        <w:keepLines w:val="0"/>
        <w:pageBreakBefore w:val="0"/>
        <w:kinsoku/>
        <w:wordWrap/>
        <w:overflowPunct/>
        <w:topLinePunct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rPr>
        <w:t>3</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承包期间内，乙方经营活动和开展的养老服务项目应严格参照《福建省社区居家养老服务照料中心星级评定标准（试行）》（闽民福〔</w:t>
      </w:r>
      <w:r>
        <w:rPr>
          <w:rFonts w:ascii="仿宋_GB2312" w:hAnsi="仿宋_GB2312" w:eastAsia="仿宋_GB2312"/>
          <w:b w:val="0"/>
          <w:bCs w:val="0"/>
          <w:color w:val="000000"/>
          <w:sz w:val="32"/>
          <w:lang w:val="zh-CN"/>
        </w:rPr>
        <w:t>2017</w:t>
      </w: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66</w:t>
      </w:r>
      <w:r>
        <w:rPr>
          <w:rFonts w:hint="eastAsia" w:ascii="仿宋_GB2312" w:hAnsi="仿宋_GB2312" w:eastAsia="仿宋_GB2312"/>
          <w:b w:val="0"/>
          <w:bCs w:val="0"/>
          <w:color w:val="000000"/>
          <w:sz w:val="32"/>
          <w:lang w:val="zh-CN"/>
        </w:rPr>
        <w:t>号）、《养老机构管理办法》、《老年人社会福利机构基本规范》和《福建省养老机构护理服务规范》等政策法规执行。</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rPr>
        <w:t>4</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rPr>
        <w:t>承包期内，</w:t>
      </w:r>
      <w:r>
        <w:rPr>
          <w:rFonts w:hint="eastAsia" w:ascii="仿宋_GB2312" w:hAnsi="仿宋_GB2312" w:eastAsia="仿宋_GB2312"/>
          <w:b w:val="0"/>
          <w:bCs w:val="0"/>
          <w:color w:val="000000"/>
          <w:sz w:val="32"/>
          <w:lang w:val="zh-CN"/>
        </w:rPr>
        <w:t>乙方</w:t>
      </w:r>
      <w:r>
        <w:rPr>
          <w:rFonts w:hint="eastAsia" w:ascii="仿宋_GB2312" w:hAnsi="仿宋_GB2312" w:eastAsia="仿宋_GB2312"/>
          <w:b w:val="0"/>
          <w:bCs w:val="0"/>
          <w:color w:val="000000"/>
          <w:sz w:val="32"/>
        </w:rPr>
        <w:t>不得改变建筑物的主体结构、风格和外立面，</w:t>
      </w:r>
      <w:r>
        <w:rPr>
          <w:rFonts w:hint="eastAsia" w:ascii="仿宋_GB2312" w:hAnsi="仿宋_GB2312" w:eastAsia="仿宋_GB2312"/>
          <w:b w:val="0"/>
          <w:bCs w:val="0"/>
          <w:color w:val="000000"/>
          <w:sz w:val="32"/>
          <w:lang w:val="zh-CN"/>
        </w:rPr>
        <w:t>不得改变照料中心建筑的外观、外部环境。乙方如需要进行二次装修（如消防改造、功能区重新规划等），装修方案须报甲方审查批准后方可动工，</w:t>
      </w:r>
      <w:r>
        <w:rPr>
          <w:rFonts w:hint="eastAsia" w:ascii="仿宋_GB2312" w:hAnsi="仿宋_GB2312" w:eastAsia="仿宋_GB2312"/>
          <w:b w:val="0"/>
          <w:bCs w:val="0"/>
          <w:color w:val="000000"/>
          <w:sz w:val="32"/>
          <w:lang w:val="en-US" w:eastAsia="zh-CN"/>
        </w:rPr>
        <w:t>要求到达“四有”标准（有正式审批、有设计图纸、有资质施工、有竣工验收）</w:t>
      </w:r>
      <w:r>
        <w:rPr>
          <w:rFonts w:hint="eastAsia" w:ascii="仿宋_GB2312" w:hAnsi="仿宋_GB2312" w:eastAsia="仿宋_GB2312"/>
          <w:b w:val="0"/>
          <w:bCs w:val="0"/>
          <w:color w:val="000000"/>
          <w:sz w:val="32"/>
          <w:lang w:val="zh-CN"/>
        </w:rPr>
        <w:t>。</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rPr>
        <w:t>5</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在甲方协助下，乙方应按照消防标准进行照料中心场所装修和验收，并保证承包期间照料中心场所符合治安、消防、卫生、食品安全、医疗等有关要求。在承包期间应落实好各项安全管理体系。</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rPr>
        <w:t>6</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承包期间乙方不得从事与照料中心无关的生产经营活动；不得利用场地从事生产、销售、经营国家规定的违禁品；不得从事任何违法活动；不得将场所的经营权向第三方进行转包、转租、担保、保证、抵押。不得从事有损害甲方权益的行为。由此引起的一切责任由乙方承担。</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7.</w:t>
      </w:r>
      <w:r>
        <w:rPr>
          <w:rFonts w:hint="eastAsia" w:ascii="仿宋_GB2312" w:hAnsi="仿宋_GB2312" w:eastAsia="仿宋_GB2312"/>
          <w:b w:val="0"/>
          <w:bCs w:val="0"/>
          <w:color w:val="000000"/>
          <w:sz w:val="32"/>
          <w:lang w:val="zh-CN"/>
        </w:rPr>
        <w:t>乙方在合同期内发生重大事故或</w:t>
      </w:r>
      <w:r>
        <w:rPr>
          <w:rFonts w:hint="eastAsia" w:ascii="仿宋_GB2312" w:hAnsi="仿宋_GB2312" w:eastAsia="仿宋_GB2312"/>
          <w:b w:val="0"/>
          <w:bCs w:val="0"/>
          <w:color w:val="000000"/>
          <w:sz w:val="32"/>
          <w:lang w:val="en-US" w:eastAsia="zh-CN"/>
        </w:rPr>
        <w:t>年度</w:t>
      </w:r>
      <w:r>
        <w:rPr>
          <w:rFonts w:hint="eastAsia" w:ascii="仿宋_GB2312" w:hAnsi="仿宋_GB2312" w:eastAsia="仿宋_GB2312"/>
          <w:b w:val="0"/>
          <w:bCs w:val="0"/>
          <w:color w:val="000000"/>
          <w:sz w:val="32"/>
          <w:lang w:val="zh-CN"/>
        </w:rPr>
        <w:t>评估不合格的，取消</w:t>
      </w:r>
      <w:r>
        <w:rPr>
          <w:rFonts w:hint="eastAsia" w:ascii="仿宋_GB2312" w:hAnsi="仿宋_GB2312" w:eastAsia="仿宋_GB2312"/>
          <w:b w:val="0"/>
          <w:bCs w:val="0"/>
          <w:color w:val="000000"/>
          <w:sz w:val="32"/>
        </w:rPr>
        <w:t>该</w:t>
      </w: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rPr>
        <w:t>照料</w:t>
      </w:r>
      <w:r>
        <w:rPr>
          <w:rFonts w:hint="eastAsia" w:ascii="仿宋_GB2312" w:hAnsi="仿宋_GB2312" w:eastAsia="仿宋_GB2312"/>
          <w:b w:val="0"/>
          <w:bCs w:val="0"/>
          <w:color w:val="000000"/>
          <w:sz w:val="32"/>
          <w:lang w:val="zh-CN"/>
        </w:rPr>
        <w:t>中心”享受</w:t>
      </w:r>
      <w:r>
        <w:rPr>
          <w:rFonts w:hint="eastAsia" w:ascii="仿宋_GB2312" w:hAnsi="仿宋_GB2312" w:eastAsia="仿宋_GB2312"/>
          <w:b w:val="0"/>
          <w:bCs w:val="0"/>
          <w:color w:val="000000"/>
          <w:sz w:val="32"/>
        </w:rPr>
        <w:t>的</w:t>
      </w:r>
      <w:r>
        <w:rPr>
          <w:rFonts w:hint="eastAsia" w:ascii="仿宋_GB2312" w:hAnsi="仿宋_GB2312" w:eastAsia="仿宋_GB2312"/>
          <w:b w:val="0"/>
          <w:bCs w:val="0"/>
          <w:color w:val="000000"/>
          <w:sz w:val="32"/>
          <w:lang w:val="en-US" w:eastAsia="zh-CN"/>
        </w:rPr>
        <w:t>省、市、</w:t>
      </w:r>
      <w:r>
        <w:rPr>
          <w:rFonts w:hint="eastAsia" w:ascii="仿宋_GB2312" w:hAnsi="仿宋_GB2312" w:eastAsia="仿宋_GB2312"/>
          <w:b w:val="0"/>
          <w:bCs w:val="0"/>
          <w:color w:val="000000"/>
          <w:sz w:val="32"/>
          <w:lang w:val="zh-CN"/>
        </w:rPr>
        <w:t>区相关扶持政策，停止发放扶持资金并退回当次奖励资金。</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8.</w:t>
      </w:r>
      <w:r>
        <w:rPr>
          <w:rFonts w:hint="eastAsia" w:ascii="仿宋_GB2312" w:hAnsi="仿宋_GB2312" w:eastAsia="仿宋_GB2312"/>
          <w:b w:val="0"/>
          <w:bCs w:val="0"/>
          <w:color w:val="000000"/>
          <w:sz w:val="32"/>
        </w:rPr>
        <w:t>乙方</w:t>
      </w:r>
      <w:r>
        <w:rPr>
          <w:rFonts w:hint="eastAsia" w:ascii="仿宋_GB2312" w:hAnsi="仿宋_GB2312" w:eastAsia="仿宋_GB2312"/>
          <w:b w:val="0"/>
          <w:bCs w:val="0"/>
          <w:color w:val="000000"/>
          <w:sz w:val="32"/>
          <w:lang w:val="zh-CN"/>
        </w:rPr>
        <w:t>承包期间，</w:t>
      </w:r>
      <w:r>
        <w:rPr>
          <w:rFonts w:hint="eastAsia" w:ascii="仿宋_GB2312" w:hAnsi="仿宋_GB2312" w:eastAsia="仿宋_GB2312"/>
          <w:b w:val="0"/>
          <w:bCs w:val="0"/>
          <w:color w:val="000000"/>
          <w:sz w:val="32"/>
        </w:rPr>
        <w:t>运营管理活动需严格遵照我国</w:t>
      </w:r>
      <w:r>
        <w:rPr>
          <w:rFonts w:hint="eastAsia" w:ascii="仿宋_GB2312" w:hAnsi="仿宋_GB2312" w:eastAsia="仿宋_GB2312"/>
          <w:b w:val="0"/>
          <w:bCs w:val="0"/>
          <w:color w:val="000000"/>
          <w:sz w:val="32"/>
          <w:lang w:val="zh-CN"/>
        </w:rPr>
        <w:t>法律法规</w:t>
      </w:r>
      <w:r>
        <w:rPr>
          <w:rFonts w:hint="eastAsia" w:ascii="仿宋_GB2312" w:hAnsi="仿宋_GB2312" w:eastAsia="仿宋_GB2312"/>
          <w:b w:val="0"/>
          <w:bCs w:val="0"/>
          <w:color w:val="000000"/>
          <w:sz w:val="32"/>
        </w:rPr>
        <w:t>制度执行，</w:t>
      </w:r>
      <w:r>
        <w:rPr>
          <w:rFonts w:hint="eastAsia" w:ascii="仿宋_GB2312" w:hAnsi="仿宋_GB2312" w:eastAsia="仿宋_GB2312"/>
          <w:b w:val="0"/>
          <w:bCs w:val="0"/>
          <w:color w:val="000000"/>
          <w:sz w:val="32"/>
          <w:lang w:val="zh-CN"/>
        </w:rPr>
        <w:t>在日常经营</w:t>
      </w:r>
      <w:r>
        <w:rPr>
          <w:rFonts w:hint="eastAsia" w:ascii="仿宋_GB2312" w:hAnsi="仿宋_GB2312" w:eastAsia="仿宋_GB2312"/>
          <w:b w:val="0"/>
          <w:bCs w:val="0"/>
          <w:color w:val="000000"/>
          <w:sz w:val="32"/>
        </w:rPr>
        <w:t>管理</w:t>
      </w:r>
      <w:r>
        <w:rPr>
          <w:rFonts w:hint="eastAsia" w:ascii="仿宋_GB2312" w:hAnsi="仿宋_GB2312" w:eastAsia="仿宋_GB2312"/>
          <w:b w:val="0"/>
          <w:bCs w:val="0"/>
          <w:color w:val="000000"/>
          <w:sz w:val="32"/>
          <w:lang w:val="zh-CN"/>
        </w:rPr>
        <w:t>中产生的债权债务和法律责任由乙方承担。</w:t>
      </w:r>
      <w:r>
        <w:rPr>
          <w:rFonts w:hint="eastAsia" w:ascii="仿宋_GB2312" w:hAnsi="仿宋_GB2312" w:eastAsia="仿宋_GB2312"/>
          <w:b w:val="0"/>
          <w:bCs w:val="0"/>
          <w:color w:val="000000"/>
          <w:sz w:val="32"/>
        </w:rPr>
        <w:t>发生</w:t>
      </w:r>
      <w:r>
        <w:rPr>
          <w:rFonts w:hint="eastAsia" w:ascii="仿宋_GB2312" w:hAnsi="仿宋_GB2312" w:eastAsia="仿宋_GB2312"/>
          <w:b w:val="0"/>
          <w:bCs w:val="0"/>
          <w:color w:val="000000"/>
          <w:sz w:val="32"/>
          <w:lang w:val="zh-CN"/>
        </w:rPr>
        <w:t>因管理不善</w:t>
      </w:r>
      <w:r>
        <w:rPr>
          <w:rFonts w:hint="eastAsia" w:ascii="仿宋_GB2312" w:hAnsi="仿宋_GB2312" w:eastAsia="仿宋_GB2312"/>
          <w:b w:val="0"/>
          <w:bCs w:val="0"/>
          <w:color w:val="000000"/>
          <w:sz w:val="32"/>
        </w:rPr>
        <w:t>造成</w:t>
      </w:r>
      <w:r>
        <w:rPr>
          <w:rFonts w:hint="eastAsia" w:ascii="仿宋_GB2312" w:hAnsi="仿宋_GB2312" w:eastAsia="仿宋_GB2312"/>
          <w:b w:val="0"/>
          <w:bCs w:val="0"/>
          <w:color w:val="000000"/>
          <w:sz w:val="32"/>
          <w:lang w:val="zh-CN"/>
        </w:rPr>
        <w:t>老人</w:t>
      </w:r>
      <w:r>
        <w:rPr>
          <w:rFonts w:hint="eastAsia" w:ascii="仿宋_GB2312" w:hAnsi="仿宋_GB2312" w:eastAsia="仿宋_GB2312"/>
          <w:b w:val="0"/>
          <w:bCs w:val="0"/>
          <w:color w:val="000000"/>
          <w:sz w:val="32"/>
        </w:rPr>
        <w:t>被虐待殴打致死、药物毒害或精神残害</w:t>
      </w:r>
      <w:r>
        <w:rPr>
          <w:rFonts w:hint="eastAsia" w:ascii="仿宋_GB2312" w:hAnsi="仿宋_GB2312" w:eastAsia="仿宋_GB2312"/>
          <w:b w:val="0"/>
          <w:bCs w:val="0"/>
          <w:color w:val="000000"/>
          <w:sz w:val="32"/>
          <w:lang w:val="zh-CN"/>
        </w:rPr>
        <w:t>等</w:t>
      </w:r>
      <w:r>
        <w:rPr>
          <w:rFonts w:hint="eastAsia" w:ascii="仿宋_GB2312" w:hAnsi="仿宋_GB2312" w:eastAsia="仿宋_GB2312"/>
          <w:b w:val="0"/>
          <w:bCs w:val="0"/>
          <w:color w:val="000000"/>
          <w:sz w:val="32"/>
        </w:rPr>
        <w:t>重大事故</w:t>
      </w:r>
      <w:r>
        <w:rPr>
          <w:rFonts w:hint="eastAsia" w:ascii="仿宋_GB2312" w:hAnsi="仿宋_GB2312" w:eastAsia="仿宋_GB2312"/>
          <w:b w:val="0"/>
          <w:bCs w:val="0"/>
          <w:color w:val="000000"/>
          <w:sz w:val="32"/>
          <w:lang w:val="zh-CN"/>
        </w:rPr>
        <w:t>，所有责任由乙方自行承担。</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rPr>
        <w:t>9</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未经甲方同意，乙方不得擅自停业、歇业，如遇行业检查和上级部门检查等，乙方须全力配合甲方开展各项工作，对甲方提出的要求</w:t>
      </w:r>
      <w:r>
        <w:rPr>
          <w:rFonts w:hint="eastAsia" w:ascii="仿宋_GB2312" w:hAnsi="仿宋_GB2312" w:eastAsia="仿宋_GB2312"/>
          <w:b w:val="0"/>
          <w:bCs w:val="0"/>
          <w:color w:val="000000"/>
          <w:sz w:val="32"/>
        </w:rPr>
        <w:t>做到</w:t>
      </w:r>
      <w:r>
        <w:rPr>
          <w:rFonts w:hint="eastAsia" w:ascii="仿宋_GB2312" w:hAnsi="仿宋_GB2312" w:eastAsia="仿宋_GB2312"/>
          <w:b w:val="0"/>
          <w:bCs w:val="0"/>
          <w:color w:val="000000"/>
          <w:sz w:val="32"/>
          <w:lang w:val="zh-CN"/>
        </w:rPr>
        <w:t>及时</w:t>
      </w:r>
      <w:r>
        <w:rPr>
          <w:rFonts w:hint="eastAsia" w:ascii="仿宋_GB2312" w:hAnsi="仿宋_GB2312" w:eastAsia="仿宋_GB2312"/>
          <w:b w:val="0"/>
          <w:bCs w:val="0"/>
          <w:color w:val="000000"/>
          <w:sz w:val="32"/>
        </w:rPr>
        <w:t>处理</w:t>
      </w:r>
      <w:r>
        <w:rPr>
          <w:rFonts w:hint="eastAsia" w:ascii="仿宋_GB2312" w:hAnsi="仿宋_GB2312" w:eastAsia="仿宋_GB2312"/>
          <w:b w:val="0"/>
          <w:bCs w:val="0"/>
          <w:color w:val="000000"/>
          <w:sz w:val="32"/>
          <w:lang w:val="zh-CN"/>
        </w:rPr>
        <w:t>。</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10.乙方提供并使用的居家养老服务平台，应具备服务片区管理、老年人档案信息管理、呼叫中心、定位、在线下单派单、服务评价以及数据分析等功能。</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1</w:t>
      </w:r>
      <w:r>
        <w:rPr>
          <w:rFonts w:hint="eastAsia" w:ascii="仿宋_GB2312" w:hAnsi="仿宋_GB2312" w:eastAsia="仿宋_GB2312"/>
          <w:b w:val="0"/>
          <w:bCs w:val="0"/>
          <w:color w:val="000000"/>
          <w:sz w:val="32"/>
          <w:lang w:val="zh-CN"/>
        </w:rPr>
        <w:t>） 若乙方已有服务订单系统，且具备服务订单录入、订单派发功能，则乙方按照甲方建设需求，主动适配甲方所提供的接口，将乙方订单系统的订单数据及服务人员等信息通过接口与甲方养老服务信息平台对接。乙方则须定期对服务系统的软件环境进行检查，保证系统软件运行正常。</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2</w:t>
      </w:r>
      <w:r>
        <w:rPr>
          <w:rFonts w:hint="eastAsia" w:ascii="仿宋_GB2312" w:hAnsi="仿宋_GB2312" w:eastAsia="仿宋_GB2312"/>
          <w:b w:val="0"/>
          <w:bCs w:val="0"/>
          <w:color w:val="000000"/>
          <w:sz w:val="32"/>
          <w:lang w:val="zh-CN"/>
        </w:rPr>
        <w:t>） 若乙方无服务订单系统，则须使用甲方的养老服务信息平台及微信小程序，通过平台或微信小程序实现所有服务订单电子化操作，甲方可提供一次养老服务信息平台的集中培训。</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hint="eastAsia"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en-US" w:eastAsia="zh-CN"/>
        </w:rPr>
        <w:t>3</w:t>
      </w:r>
      <w:r>
        <w:rPr>
          <w:rFonts w:hint="eastAsia" w:ascii="仿宋_GB2312" w:hAnsi="仿宋_GB2312" w:eastAsia="仿宋_GB2312"/>
          <w:b w:val="0"/>
          <w:bCs w:val="0"/>
          <w:color w:val="000000"/>
          <w:sz w:val="32"/>
          <w:lang w:val="zh-CN"/>
        </w:rPr>
        <w:t>）乙方在未经甲方事先书面同意下，不得向第三方透露与平台业务相关的所有信息。】</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11.合同期内乙方实现与三甲类医院或大型专业养老院的双向转诊及业务对接。</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12.</w:t>
      </w:r>
      <w:r>
        <w:rPr>
          <w:rFonts w:hint="eastAsia" w:ascii="仿宋_GB2312" w:hAnsi="仿宋_GB2312" w:eastAsia="仿宋_GB2312"/>
          <w:b w:val="0"/>
          <w:bCs w:val="0"/>
          <w:color w:val="000000"/>
          <w:sz w:val="32"/>
          <w:lang w:val="zh-CN"/>
        </w:rPr>
        <w:t>乙方在场所内设置医务室，申请办理接入医保系统。</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en-US" w:eastAsia="zh-CN"/>
        </w:rPr>
        <w:t>3</w:t>
      </w:r>
      <w:r>
        <w:rPr>
          <w:rFonts w:ascii="仿宋_GB2312" w:hAnsi="仿宋_GB2312" w:eastAsia="仿宋_GB2312"/>
          <w:b w:val="0"/>
          <w:bCs w:val="0"/>
          <w:color w:val="000000"/>
          <w:sz w:val="32"/>
          <w:lang w:val="zh-CN"/>
        </w:rPr>
        <w:t>.</w:t>
      </w:r>
      <w:r>
        <w:rPr>
          <w:rFonts w:hint="eastAsia" w:ascii="仿宋_GB2312" w:hAnsi="仿宋_GB2312" w:eastAsia="仿宋_GB2312"/>
          <w:b w:val="0"/>
          <w:bCs w:val="0"/>
          <w:color w:val="000000"/>
          <w:sz w:val="32"/>
          <w:lang w:val="zh-CN"/>
        </w:rPr>
        <w:t>消防安全事项。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zh-CN"/>
        </w:rPr>
        <w:t>）承包期间，乙方对场所消防安全负主体责任，对</w:t>
      </w:r>
      <w:r>
        <w:rPr>
          <w:rFonts w:hint="eastAsia" w:ascii="仿宋_GB2312" w:hAnsi="仿宋_GB2312" w:eastAsia="仿宋_GB2312"/>
          <w:b w:val="0"/>
          <w:bCs w:val="0"/>
          <w:color w:val="000000"/>
          <w:sz w:val="32"/>
        </w:rPr>
        <w:t>场所内生产、经营活动消防安全负责</w:t>
      </w:r>
      <w:r>
        <w:rPr>
          <w:rFonts w:hint="eastAsia" w:ascii="仿宋_GB2312" w:hAnsi="仿宋_GB2312" w:eastAsia="仿宋_GB2312"/>
          <w:b w:val="0"/>
          <w:bCs w:val="0"/>
          <w:color w:val="000000"/>
          <w:sz w:val="32"/>
          <w:lang w:val="zh-CN"/>
        </w:rPr>
        <w:t>。</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w:t>
      </w:r>
      <w:r>
        <w:rPr>
          <w:rFonts w:ascii="仿宋_GB2312" w:hAnsi="仿宋_GB2312" w:eastAsia="仿宋_GB2312"/>
          <w:b w:val="0"/>
          <w:bCs w:val="0"/>
          <w:color w:val="000000"/>
          <w:sz w:val="32"/>
        </w:rPr>
        <w:t>2</w:t>
      </w:r>
      <w:r>
        <w:rPr>
          <w:rFonts w:hint="eastAsia" w:ascii="仿宋_GB2312" w:hAnsi="仿宋_GB2312" w:eastAsia="仿宋_GB2312"/>
          <w:b w:val="0"/>
          <w:bCs w:val="0"/>
          <w:color w:val="000000"/>
          <w:sz w:val="32"/>
        </w:rPr>
        <w:t>）乙方应严格遵守各项消防法规及有关防火规定，场所消防疏散门、疏散楼梯、</w:t>
      </w:r>
      <w:r>
        <w:rPr>
          <w:rFonts w:ascii="仿宋_GB2312" w:hAnsi="仿宋_GB2312" w:eastAsia="仿宋_GB2312"/>
          <w:b w:val="0"/>
          <w:bCs w:val="0"/>
          <w:color w:val="000000"/>
          <w:sz w:val="32"/>
        </w:rPr>
        <w:t xml:space="preserve"> </w:t>
      </w:r>
      <w:r>
        <w:rPr>
          <w:rFonts w:hint="eastAsia" w:ascii="仿宋_GB2312" w:hAnsi="仿宋_GB2312" w:eastAsia="仿宋_GB2312"/>
          <w:b w:val="0"/>
          <w:bCs w:val="0"/>
          <w:color w:val="000000"/>
          <w:sz w:val="32"/>
        </w:rPr>
        <w:t>消防通道、安全出口等，不得堆放杂物占用、堵塞或锁闭，必须保持畅通。按规定设置消防安全疏散指示标志和应急照明设施。</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w:t>
      </w:r>
      <w:r>
        <w:rPr>
          <w:rFonts w:ascii="仿宋_GB2312" w:hAnsi="仿宋_GB2312" w:eastAsia="仿宋_GB2312"/>
          <w:b w:val="0"/>
          <w:bCs w:val="0"/>
          <w:color w:val="000000"/>
          <w:sz w:val="32"/>
        </w:rPr>
        <w:t>3</w:t>
      </w:r>
      <w:r>
        <w:rPr>
          <w:rFonts w:hint="eastAsia" w:ascii="仿宋_GB2312" w:hAnsi="仿宋_GB2312" w:eastAsia="仿宋_GB2312"/>
          <w:b w:val="0"/>
          <w:bCs w:val="0"/>
          <w:color w:val="000000"/>
          <w:sz w:val="32"/>
        </w:rPr>
        <w:t>）乙方全面负责场所消防安全管理工作，建立消防档案台帐和防火检查记录，制定各项消防安全管理制度和应急处置预案，做到责任到人</w:t>
      </w:r>
      <w:r>
        <w:rPr>
          <w:rFonts w:hint="eastAsia" w:ascii="仿宋_GB2312" w:hAnsi="仿宋_GB2312" w:eastAsia="仿宋_GB2312"/>
          <w:b w:val="0"/>
          <w:bCs w:val="0"/>
          <w:color w:val="000000"/>
          <w:sz w:val="32"/>
          <w:lang w:eastAsia="zh-CN"/>
        </w:rPr>
        <w:t>，</w:t>
      </w:r>
      <w:r>
        <w:rPr>
          <w:rFonts w:hint="eastAsia" w:ascii="仿宋_GB2312" w:hAnsi="仿宋_GB2312" w:eastAsia="仿宋_GB2312"/>
          <w:b w:val="0"/>
          <w:bCs w:val="0"/>
          <w:color w:val="000000"/>
          <w:sz w:val="32"/>
          <w:lang w:val="en-US" w:eastAsia="zh-CN"/>
        </w:rPr>
        <w:t>每半年至少演练一次，每半年至少开展一次消防安全教育培训活动</w:t>
      </w:r>
      <w:r>
        <w:rPr>
          <w:rFonts w:hint="eastAsia" w:ascii="仿宋_GB2312" w:hAnsi="仿宋_GB2312" w:eastAsia="仿宋_GB2312"/>
          <w:b w:val="0"/>
          <w:bCs w:val="0"/>
          <w:color w:val="000000"/>
          <w:sz w:val="32"/>
        </w:rPr>
        <w:t>。</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w:t>
      </w:r>
      <w:r>
        <w:rPr>
          <w:rFonts w:ascii="仿宋_GB2312" w:hAnsi="仿宋_GB2312" w:eastAsia="仿宋_GB2312"/>
          <w:b w:val="0"/>
          <w:bCs w:val="0"/>
          <w:color w:val="000000"/>
          <w:sz w:val="32"/>
        </w:rPr>
        <w:t>4</w:t>
      </w:r>
      <w:r>
        <w:rPr>
          <w:rFonts w:hint="eastAsia" w:ascii="仿宋_GB2312" w:hAnsi="仿宋_GB2312" w:eastAsia="仿宋_GB2312"/>
          <w:b w:val="0"/>
          <w:bCs w:val="0"/>
          <w:color w:val="000000"/>
          <w:sz w:val="32"/>
        </w:rPr>
        <w:t>）乙方用电必须符合国家及地方有关规定，不得超负荷用电和私拉乱接临时电线，电气线路和电气设备的功率、保险装置应当与额定负荷相匹配，不得用其他金属丝代替保险丝等。场所消防设备、设施必须符合消防要求，始终保持完整、可用、正常的工作状态。严禁遮挡或挪作它用，如有丢失损坏应及时购置或维修。</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w:t>
      </w:r>
      <w:r>
        <w:rPr>
          <w:rFonts w:ascii="仿宋_GB2312" w:hAnsi="仿宋_GB2312" w:eastAsia="仿宋_GB2312"/>
          <w:b w:val="0"/>
          <w:bCs w:val="0"/>
          <w:color w:val="000000"/>
          <w:sz w:val="32"/>
        </w:rPr>
        <w:t>5</w:t>
      </w:r>
      <w:r>
        <w:rPr>
          <w:rFonts w:hint="eastAsia" w:ascii="仿宋_GB2312" w:hAnsi="仿宋_GB2312" w:eastAsia="仿宋_GB2312"/>
          <w:b w:val="0"/>
          <w:bCs w:val="0"/>
          <w:color w:val="000000"/>
          <w:sz w:val="32"/>
        </w:rPr>
        <w:t>）乙方负责消防器材的配置、正常维修、更换。消防器材应放置适用场所，做到数量足够、摆放合理、专人保管、定期检测。应与有资质机构签订《消防维护保养合同》。</w:t>
      </w:r>
      <w:r>
        <w:rPr>
          <w:rFonts w:ascii="仿宋_GB2312" w:hAnsi="仿宋_GB2312" w:eastAsia="仿宋_GB2312"/>
          <w:b w:val="0"/>
          <w:bCs w:val="0"/>
          <w:color w:val="000000"/>
          <w:sz w:val="32"/>
        </w:rPr>
        <w:t xml:space="preserve">  </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w:t>
      </w:r>
      <w:r>
        <w:rPr>
          <w:rFonts w:ascii="仿宋_GB2312" w:hAnsi="仿宋_GB2312" w:eastAsia="仿宋_GB2312"/>
          <w:b w:val="0"/>
          <w:bCs w:val="0"/>
          <w:color w:val="000000"/>
          <w:sz w:val="32"/>
        </w:rPr>
        <w:t>6</w:t>
      </w:r>
      <w:r>
        <w:rPr>
          <w:rFonts w:hint="eastAsia" w:ascii="仿宋_GB2312" w:hAnsi="仿宋_GB2312" w:eastAsia="仿宋_GB2312"/>
          <w:b w:val="0"/>
          <w:bCs w:val="0"/>
          <w:color w:val="000000"/>
          <w:sz w:val="32"/>
        </w:rPr>
        <w:t>）乙方应服从公安消防部门和甲方及上级安全管理部门的监督检查，对监督检查中提出的消防安全隐患，及时进行整改。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w:t>
      </w:r>
      <w:r>
        <w:rPr>
          <w:rFonts w:ascii="仿宋_GB2312" w:hAnsi="仿宋_GB2312" w:eastAsia="仿宋_GB2312"/>
          <w:b w:val="0"/>
          <w:bCs w:val="0"/>
          <w:color w:val="000000"/>
          <w:sz w:val="32"/>
        </w:rPr>
        <w:t>7</w:t>
      </w:r>
      <w:r>
        <w:rPr>
          <w:rFonts w:hint="eastAsia" w:ascii="仿宋_GB2312" w:hAnsi="仿宋_GB2312" w:eastAsia="仿宋_GB2312"/>
          <w:b w:val="0"/>
          <w:bCs w:val="0"/>
          <w:color w:val="000000"/>
          <w:sz w:val="32"/>
        </w:rPr>
        <w:t>）若因乙方管理不严，违反消防法规及安全管理制度，违反操作规程，引起火灾发生、火灾事故或引发火情，由乙方负完全责任，并赔偿由此造成的经济损失及承担法律责任。</w:t>
      </w:r>
      <w:r>
        <w:rPr>
          <w:rFonts w:ascii="仿宋_GB2312" w:hAnsi="仿宋_GB2312" w:eastAsia="仿宋_GB2312"/>
          <w:b w:val="0"/>
          <w:bCs w:val="0"/>
          <w:color w:val="000000"/>
          <w:sz w:val="32"/>
        </w:rPr>
        <w:t xml:space="preserve"> </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w:t>
      </w:r>
      <w:r>
        <w:rPr>
          <w:rFonts w:ascii="仿宋_GB2312" w:hAnsi="仿宋_GB2312" w:eastAsia="仿宋_GB2312"/>
          <w:b w:val="0"/>
          <w:bCs w:val="0"/>
          <w:color w:val="000000"/>
          <w:sz w:val="32"/>
        </w:rPr>
        <w:t>8</w:t>
      </w:r>
      <w:r>
        <w:rPr>
          <w:rFonts w:hint="eastAsia" w:ascii="仿宋_GB2312" w:hAnsi="仿宋_GB2312" w:eastAsia="仿宋_GB2312"/>
          <w:b w:val="0"/>
          <w:bCs w:val="0"/>
          <w:color w:val="000000"/>
          <w:sz w:val="32"/>
        </w:rPr>
        <w:t>）若乙方拒不执行消防法规及有关防火规定，在安全检查中发现存在严重安全隐患，并不能按要求整改消除火灾隐患的，由乙方承担违约责任、经济赔偿责任。</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黑体" w:hAnsi="黑体" w:eastAsia="黑体" w:cs="黑体"/>
          <w:b w:val="0"/>
          <w:bCs w:val="0"/>
          <w:color w:val="000000"/>
          <w:sz w:val="32"/>
          <w:lang w:val="zh-CN"/>
        </w:rPr>
      </w:pPr>
      <w:r>
        <w:rPr>
          <w:rFonts w:hint="eastAsia" w:ascii="黑体" w:hAnsi="黑体" w:eastAsia="黑体" w:cs="黑体"/>
          <w:b w:val="0"/>
          <w:bCs w:val="0"/>
          <w:color w:val="000000"/>
          <w:sz w:val="32"/>
          <w:lang w:val="zh-CN"/>
        </w:rPr>
        <w:t>四、其他约定事项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zh-CN"/>
        </w:rPr>
        <w:t>本合同生效后即具有法律约束力，甲乙双方均不得随意变更或解除。本合同需要变更或解除时，须经甲、乙双方共同协商，达成一致意见。</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2.</w:t>
      </w:r>
      <w:r>
        <w:rPr>
          <w:rFonts w:hint="eastAsia" w:ascii="仿宋_GB2312" w:hAnsi="仿宋_GB2312" w:eastAsia="仿宋_GB2312"/>
          <w:b w:val="0"/>
          <w:bCs w:val="0"/>
          <w:color w:val="000000"/>
          <w:sz w:val="32"/>
          <w:lang w:val="zh-CN"/>
        </w:rPr>
        <w:t>乙方有下列情形之一的，甲方有权无条件解除合同，并收回经营权。乙方应在收到解除本合同书面通知的</w:t>
      </w:r>
      <w:r>
        <w:rPr>
          <w:rFonts w:ascii="仿宋_GB2312" w:hAnsi="仿宋_GB2312" w:eastAsia="仿宋_GB2312"/>
          <w:b w:val="0"/>
          <w:bCs w:val="0"/>
          <w:color w:val="000000"/>
          <w:sz w:val="32"/>
          <w:lang w:val="zh-CN"/>
        </w:rPr>
        <w:t>30</w:t>
      </w:r>
      <w:r>
        <w:rPr>
          <w:rFonts w:hint="eastAsia" w:ascii="仿宋_GB2312" w:hAnsi="仿宋_GB2312" w:eastAsia="仿宋_GB2312"/>
          <w:b w:val="0"/>
          <w:bCs w:val="0"/>
          <w:color w:val="000000"/>
          <w:sz w:val="32"/>
          <w:lang w:val="zh-CN"/>
        </w:rPr>
        <w:t>天内撤离，同时妥善安置好老人，并赔偿甲方由此造成的损失：</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1</w:t>
      </w:r>
      <w:r>
        <w:rPr>
          <w:rFonts w:hint="eastAsia" w:ascii="仿宋_GB2312" w:hAnsi="仿宋_GB2312" w:eastAsia="仿宋_GB2312"/>
          <w:b w:val="0"/>
          <w:bCs w:val="0"/>
          <w:color w:val="000000"/>
          <w:sz w:val="32"/>
          <w:lang w:val="zh-CN"/>
        </w:rPr>
        <w:t>）利用经营场所进行非法活动，违法经营或损害公共利益；</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2</w:t>
      </w:r>
      <w:r>
        <w:rPr>
          <w:rFonts w:hint="eastAsia" w:ascii="仿宋_GB2312" w:hAnsi="仿宋_GB2312" w:eastAsia="仿宋_GB2312"/>
          <w:b w:val="0"/>
          <w:bCs w:val="0"/>
          <w:color w:val="000000"/>
          <w:sz w:val="32"/>
          <w:lang w:val="zh-CN"/>
        </w:rPr>
        <w:t>）在未经甲方同意的情况下擅自变更经营项目和服务内容；</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3</w:t>
      </w:r>
      <w:r>
        <w:rPr>
          <w:rFonts w:hint="eastAsia" w:ascii="仿宋_GB2312" w:hAnsi="仿宋_GB2312" w:eastAsia="仿宋_GB2312"/>
          <w:b w:val="0"/>
          <w:bCs w:val="0"/>
          <w:color w:val="000000"/>
          <w:sz w:val="32"/>
          <w:lang w:val="zh-CN"/>
        </w:rPr>
        <w:t>）乙方服务不到位、未按照有关法律法规政策规定开展相关业务活动，在甲方要求整改后未按时整改不到位的。</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4</w:t>
      </w:r>
      <w:r>
        <w:rPr>
          <w:rFonts w:hint="eastAsia" w:ascii="仿宋_GB2312" w:hAnsi="仿宋_GB2312" w:eastAsia="仿宋_GB2312"/>
          <w:b w:val="0"/>
          <w:bCs w:val="0"/>
          <w:color w:val="000000"/>
          <w:sz w:val="32"/>
          <w:lang w:val="zh-CN"/>
        </w:rPr>
        <w:t>）乙方将承包权转包他人的。</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w:t>
      </w:r>
      <w:r>
        <w:rPr>
          <w:rFonts w:ascii="仿宋_GB2312" w:hAnsi="仿宋_GB2312" w:eastAsia="仿宋_GB2312"/>
          <w:b w:val="0"/>
          <w:bCs w:val="0"/>
          <w:color w:val="000000"/>
          <w:sz w:val="32"/>
          <w:lang w:val="zh-CN"/>
        </w:rPr>
        <w:t>5</w:t>
      </w:r>
      <w:r>
        <w:rPr>
          <w:rFonts w:hint="eastAsia" w:ascii="仿宋_GB2312" w:hAnsi="仿宋_GB2312" w:eastAsia="仿宋_GB2312"/>
          <w:b w:val="0"/>
          <w:bCs w:val="0"/>
          <w:color w:val="000000"/>
          <w:sz w:val="32"/>
          <w:lang w:val="zh-CN"/>
        </w:rPr>
        <w:t>）乙方在合同期内发生重大事故或评估不合格的。</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3.</w:t>
      </w:r>
      <w:r>
        <w:rPr>
          <w:rFonts w:hint="eastAsia" w:ascii="仿宋_GB2312" w:hAnsi="仿宋_GB2312" w:eastAsia="仿宋_GB2312"/>
          <w:b w:val="0"/>
          <w:bCs w:val="0"/>
          <w:color w:val="000000"/>
          <w:sz w:val="32"/>
          <w:lang w:val="zh-CN"/>
        </w:rPr>
        <w:t>承包期间内，若遇国家征用（以政府文件为准）、政府及街道建设需要，导致照料中心场所变动或遇不可抗力因素等影响，无法继续履行本合同，造成的损失由双方各自承担。如有补偿款，补偿款全部归甲方所有。</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4.</w:t>
      </w:r>
      <w:r>
        <w:rPr>
          <w:rFonts w:hint="eastAsia" w:ascii="仿宋_GB2312" w:hAnsi="仿宋_GB2312" w:eastAsia="仿宋_GB2312"/>
          <w:b w:val="0"/>
          <w:bCs w:val="0"/>
          <w:color w:val="000000"/>
          <w:sz w:val="32"/>
          <w:lang w:val="zh-CN"/>
        </w:rPr>
        <w:t>承包期间，任何一方无故单方终止本合同的视为违约，应赔偿守约方全部经济损失，并承担全部法律责任。</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5.</w:t>
      </w:r>
      <w:r>
        <w:rPr>
          <w:rFonts w:hint="eastAsia" w:ascii="仿宋_GB2312" w:hAnsi="仿宋_GB2312" w:eastAsia="仿宋_GB2312"/>
          <w:b w:val="0"/>
          <w:bCs w:val="0"/>
          <w:color w:val="000000"/>
          <w:sz w:val="32"/>
          <w:lang w:val="zh-CN"/>
        </w:rPr>
        <w:t>本合同未尽事宜及履行期间双方发生争议的，由双方共同协商、通过补充协议解决。补充协议及本合同附件均为本合同组成部分，与本合同具有同等法律效力。协商不能解决的，双方均应向甲方所在地有管辖权的人民法院提起诉讼。在本合同诉讼期间，双方有义务保持场地现状并不受损坏。</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6.</w:t>
      </w:r>
      <w:r>
        <w:rPr>
          <w:rFonts w:hint="eastAsia" w:ascii="仿宋_GB2312" w:hAnsi="仿宋_GB2312" w:eastAsia="仿宋_GB2312"/>
          <w:b w:val="0"/>
          <w:bCs w:val="0"/>
          <w:color w:val="000000"/>
          <w:sz w:val="32"/>
          <w:lang w:val="zh-CN"/>
        </w:rPr>
        <w:t>本合同规定期满，如双方未达成继续承包协议，则不动产无偿移交甲方，动产部分由中标人在合同期满</w:t>
      </w:r>
      <w:r>
        <w:rPr>
          <w:rFonts w:ascii="仿宋_GB2312" w:hAnsi="仿宋_GB2312" w:eastAsia="仿宋_GB2312"/>
          <w:b w:val="0"/>
          <w:bCs w:val="0"/>
          <w:color w:val="000000"/>
          <w:sz w:val="32"/>
          <w:lang w:val="zh-CN"/>
        </w:rPr>
        <w:t>30</w:t>
      </w:r>
      <w:r>
        <w:rPr>
          <w:rFonts w:hint="eastAsia" w:ascii="仿宋_GB2312" w:hAnsi="仿宋_GB2312" w:eastAsia="仿宋_GB2312"/>
          <w:b w:val="0"/>
          <w:bCs w:val="0"/>
          <w:color w:val="000000"/>
          <w:sz w:val="32"/>
          <w:lang w:val="zh-CN"/>
        </w:rPr>
        <w:t>天内自行处置，逾期视为废弃物由甲方处理。甲乙双方的权利、义务履行完毕后，本合同自行终止。</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ascii="仿宋_GB2312" w:hAnsi="仿宋_GB2312" w:eastAsia="仿宋_GB2312"/>
          <w:b w:val="0"/>
          <w:bCs w:val="0"/>
          <w:color w:val="000000"/>
          <w:sz w:val="32"/>
          <w:lang w:val="zh-CN"/>
        </w:rPr>
        <w:t>7.</w:t>
      </w:r>
      <w:r>
        <w:rPr>
          <w:rFonts w:hint="eastAsia" w:ascii="仿宋_GB2312" w:hAnsi="仿宋_GB2312" w:eastAsia="仿宋_GB2312"/>
          <w:b w:val="0"/>
          <w:bCs w:val="0"/>
          <w:color w:val="000000"/>
          <w:sz w:val="32"/>
          <w:lang w:val="zh-CN"/>
        </w:rPr>
        <w:t>本合同一式两份，甲乙双方各执一份，未尽事宜，双方协商解决。</w:t>
      </w:r>
    </w:p>
    <w:p>
      <w:pPr>
        <w:keepNext w:val="0"/>
        <w:keepLines w:val="0"/>
        <w:pageBreakBefore w:val="0"/>
        <w:kinsoku/>
        <w:wordWrap/>
        <w:overflowPunct/>
        <w:topLinePunct w:val="0"/>
        <w:autoSpaceDE w:val="0"/>
        <w:autoSpaceDN w:val="0"/>
        <w:bidi w:val="0"/>
        <w:adjustRightInd/>
        <w:snapToGrid/>
        <w:spacing w:line="560" w:lineRule="exact"/>
        <w:textAlignment w:val="baseline"/>
        <w:rPr>
          <w:rFonts w:hint="eastAsia" w:ascii="仿宋_GB2312" w:hAnsi="仿宋_GB2312" w:eastAsia="仿宋_GB2312"/>
          <w:b w:val="0"/>
          <w:bCs w:val="0"/>
          <w:color w:val="000000"/>
          <w:sz w:val="32"/>
        </w:rPr>
      </w:pP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rPr>
        <w:t>附件：</w:t>
      </w:r>
      <w:r>
        <w:rPr>
          <w:rFonts w:ascii="仿宋_GB2312" w:hAnsi="仿宋_GB2312" w:eastAsia="仿宋_GB2312"/>
          <w:b w:val="0"/>
          <w:bCs w:val="0"/>
          <w:color w:val="000000"/>
          <w:sz w:val="32"/>
        </w:rPr>
        <w:t>1.</w:t>
      </w:r>
      <w:r>
        <w:rPr>
          <w:rFonts w:hint="eastAsia" w:ascii="仿宋_GB2312" w:hAnsi="仿宋_GB2312" w:eastAsia="仿宋_GB2312"/>
          <w:b w:val="0"/>
          <w:bCs w:val="0"/>
          <w:color w:val="000000"/>
          <w:sz w:val="32"/>
        </w:rPr>
        <w:t>照料中心建设和运营方案</w:t>
      </w:r>
    </w:p>
    <w:p>
      <w:pPr>
        <w:keepNext w:val="0"/>
        <w:keepLines w:val="0"/>
        <w:pageBreakBefore w:val="0"/>
        <w:kinsoku/>
        <w:wordWrap/>
        <w:overflowPunct/>
        <w:topLinePunct w:val="0"/>
        <w:autoSpaceDE w:val="0"/>
        <w:autoSpaceDN w:val="0"/>
        <w:bidi w:val="0"/>
        <w:adjustRightInd/>
        <w:snapToGrid/>
        <w:spacing w:line="560" w:lineRule="exact"/>
        <w:ind w:firstLine="1540" w:firstLineChars="500"/>
        <w:textAlignment w:val="baseline"/>
        <w:rPr>
          <w:rFonts w:ascii="仿宋_GB2312" w:hAnsi="仿宋_GB2312" w:eastAsia="仿宋_GB2312"/>
          <w:b w:val="0"/>
          <w:bCs w:val="0"/>
          <w:color w:val="000000"/>
          <w:sz w:val="32"/>
        </w:rPr>
      </w:pPr>
      <w:r>
        <w:rPr>
          <w:rFonts w:ascii="仿宋_GB2312" w:hAnsi="仿宋_GB2312" w:eastAsia="仿宋_GB2312"/>
          <w:b w:val="0"/>
          <w:bCs w:val="0"/>
          <w:color w:val="000000"/>
          <w:sz w:val="32"/>
        </w:rPr>
        <w:t>2.</w:t>
      </w:r>
      <w:r>
        <w:rPr>
          <w:rFonts w:hint="eastAsia" w:ascii="仿宋_GB2312" w:hAnsi="仿宋_GB2312" w:eastAsia="仿宋_GB2312"/>
          <w:b w:val="0"/>
          <w:bCs w:val="0"/>
          <w:color w:val="000000"/>
          <w:sz w:val="32"/>
        </w:rPr>
        <w:t>照料中心平面图</w:t>
      </w:r>
    </w:p>
    <w:p>
      <w:pPr>
        <w:keepNext w:val="0"/>
        <w:keepLines w:val="0"/>
        <w:pageBreakBefore w:val="0"/>
        <w:kinsoku/>
        <w:wordWrap/>
        <w:overflowPunct/>
        <w:topLinePunct w:val="0"/>
        <w:autoSpaceDE w:val="0"/>
        <w:autoSpaceDN w:val="0"/>
        <w:bidi w:val="0"/>
        <w:adjustRightInd/>
        <w:snapToGrid/>
        <w:spacing w:line="560" w:lineRule="exact"/>
        <w:ind w:firstLine="1540" w:firstLineChars="5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rPr>
        <w:t>3.</w:t>
      </w:r>
      <w:r>
        <w:rPr>
          <w:rFonts w:hint="eastAsia" w:ascii="仿宋_GB2312" w:hAnsi="仿宋_GB2312" w:eastAsia="仿宋_GB2312"/>
          <w:b w:val="0"/>
          <w:bCs w:val="0"/>
          <w:color w:val="000000"/>
          <w:spacing w:val="-17"/>
          <w:sz w:val="32"/>
          <w:lang w:val="en-US" w:eastAsia="zh-CN"/>
        </w:rPr>
        <w:t>XX街道（镇）</w:t>
      </w:r>
      <w:r>
        <w:rPr>
          <w:rFonts w:hint="eastAsia" w:ascii="仿宋_GB2312" w:hAnsi="仿宋_GB2312" w:eastAsia="仿宋_GB2312"/>
          <w:b w:val="0"/>
          <w:bCs w:val="0"/>
          <w:color w:val="000000"/>
          <w:spacing w:val="-17"/>
          <w:sz w:val="32"/>
        </w:rPr>
        <w:t>社区居家养老服务照料中心考评办法</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双方确认，以下联系人及联系方式作为双方书面文件的收件人，书面文件到达联系人处，即视为送达。联系人如有变更，需以书面方式通知对方。双方联系人及联系方式：</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rPr>
      </w:pPr>
      <w:r>
        <w:rPr>
          <w:rFonts w:hint="eastAsia" w:ascii="仿宋_GB2312" w:hAnsi="仿宋_GB2312" w:eastAsia="仿宋_GB2312"/>
          <w:b w:val="0"/>
          <w:bCs w:val="0"/>
          <w:color w:val="000000"/>
          <w:sz w:val="32"/>
          <w:lang w:val="zh-CN"/>
        </w:rPr>
        <w:t>甲方联系人：</w:t>
      </w:r>
      <w:r>
        <w:rPr>
          <w:rFonts w:hint="eastAsia" w:ascii="仿宋_GB2312" w:hAnsi="仿宋_GB2312" w:eastAsia="仿宋_GB2312"/>
          <w:b w:val="0"/>
          <w:bCs w:val="0"/>
          <w:color w:val="000000"/>
          <w:sz w:val="32"/>
          <w:lang w:val="en-US" w:eastAsia="zh-CN"/>
        </w:rPr>
        <w:t xml:space="preserve">    </w:t>
      </w:r>
      <w:r>
        <w:rPr>
          <w:rFonts w:ascii="仿宋_GB2312" w:hAnsi="仿宋_GB2312" w:eastAsia="仿宋_GB2312"/>
          <w:b w:val="0"/>
          <w:bCs w:val="0"/>
          <w:color w:val="000000"/>
          <w:sz w:val="32"/>
          <w:lang w:val="zh-CN"/>
        </w:rPr>
        <w:t xml:space="preserve">   </w:t>
      </w:r>
      <w:r>
        <w:rPr>
          <w:rFonts w:hint="eastAsia" w:ascii="仿宋_GB2312" w:hAnsi="仿宋_GB2312" w:eastAsia="仿宋_GB2312"/>
          <w:b w:val="0"/>
          <w:bCs w:val="0"/>
          <w:color w:val="000000"/>
          <w:sz w:val="32"/>
          <w:lang w:val="en-US" w:eastAsia="zh-CN"/>
        </w:rPr>
        <w:t xml:space="preserve">   </w:t>
      </w:r>
      <w:r>
        <w:rPr>
          <w:rFonts w:hint="eastAsia" w:ascii="仿宋_GB2312" w:hAnsi="仿宋_GB2312" w:eastAsia="仿宋_GB2312"/>
          <w:b w:val="0"/>
          <w:bCs w:val="0"/>
          <w:color w:val="000000"/>
          <w:sz w:val="32"/>
          <w:lang w:val="zh-CN"/>
        </w:rPr>
        <w:t>联系方式：</w:t>
      </w:r>
      <w:r>
        <w:rPr>
          <w:rFonts w:hint="eastAsia" w:ascii="仿宋_GB2312" w:hAnsi="仿宋_GB2312" w:eastAsia="仿宋_GB2312"/>
          <w:b w:val="0"/>
          <w:bCs w:val="0"/>
          <w:color w:val="000000"/>
          <w:sz w:val="32"/>
          <w:lang w:val="en-US" w:eastAsia="zh-CN"/>
        </w:rPr>
        <w:t xml:space="preserve">   </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乙方联系人：</w:t>
      </w:r>
      <w:r>
        <w:rPr>
          <w:rFonts w:ascii="仿宋_GB2312" w:hAnsi="仿宋_GB2312" w:eastAsia="仿宋_GB2312"/>
          <w:b w:val="0"/>
          <w:bCs w:val="0"/>
          <w:color w:val="000000"/>
          <w:sz w:val="32"/>
          <w:lang w:val="zh-CN"/>
        </w:rPr>
        <w:t xml:space="preserve">          </w:t>
      </w:r>
      <w:r>
        <w:rPr>
          <w:rFonts w:hint="eastAsia" w:ascii="仿宋_GB2312" w:hAnsi="仿宋_GB2312" w:eastAsia="仿宋_GB2312"/>
          <w:b w:val="0"/>
          <w:bCs w:val="0"/>
          <w:color w:val="000000"/>
          <w:sz w:val="32"/>
          <w:lang w:val="zh-CN"/>
        </w:rPr>
        <w:t>联系方式：</w:t>
      </w:r>
    </w:p>
    <w:p>
      <w:pPr>
        <w:keepNext w:val="0"/>
        <w:keepLines w:val="0"/>
        <w:pageBreakBefore w:val="0"/>
        <w:kinsoku/>
        <w:wordWrap/>
        <w:overflowPunct/>
        <w:topLinePunct w:val="0"/>
        <w:autoSpaceDE w:val="0"/>
        <w:autoSpaceDN w:val="0"/>
        <w:bidi w:val="0"/>
        <w:adjustRightInd/>
        <w:snapToGrid/>
        <w:spacing w:line="560" w:lineRule="exact"/>
        <w:ind w:firstLine="616" w:firstLineChars="200"/>
        <w:textAlignment w:val="baseline"/>
        <w:rPr>
          <w:rFonts w:ascii="仿宋_GB2312" w:hAnsi="仿宋_GB2312" w:eastAsia="仿宋_GB2312"/>
          <w:b w:val="0"/>
          <w:bCs w:val="0"/>
          <w:color w:val="000000"/>
          <w:sz w:val="32"/>
          <w:lang w:val="zh-CN"/>
        </w:rPr>
      </w:pPr>
    </w:p>
    <w:p>
      <w:pPr>
        <w:keepNext w:val="0"/>
        <w:keepLines w:val="0"/>
        <w:pageBreakBefore w:val="0"/>
        <w:kinsoku/>
        <w:wordWrap/>
        <w:overflowPunct/>
        <w:topLinePunct w:val="0"/>
        <w:bidi w:val="0"/>
        <w:adjustRightInd/>
        <w:snapToGrid/>
        <w:spacing w:line="560" w:lineRule="exact"/>
        <w:ind w:left="-1869" w:leftChars="-607" w:right="-1953" w:rightChars="-634" w:firstLine="1848" w:firstLineChars="600"/>
        <w:rPr>
          <w:rFonts w:ascii="仿宋_GB2312" w:hAnsi="仿宋_GB2312" w:eastAsia="仿宋_GB2312"/>
          <w:b w:val="0"/>
          <w:bCs w:val="0"/>
          <w:color w:val="000000"/>
          <w:sz w:val="32"/>
          <w:lang w:val="zh-CN"/>
        </w:rPr>
      </w:pPr>
      <w:r>
        <w:rPr>
          <w:rFonts w:hint="eastAsia" w:ascii="仿宋_GB2312" w:hAnsi="仿宋_GB2312" w:eastAsia="仿宋_GB2312"/>
          <w:b w:val="0"/>
          <w:bCs w:val="0"/>
          <w:color w:val="000000"/>
          <w:sz w:val="32"/>
          <w:lang w:val="zh-CN"/>
        </w:rPr>
        <w:t>甲方：</w:t>
      </w:r>
      <w:r>
        <w:rPr>
          <w:rFonts w:hint="eastAsia" w:ascii="仿宋_GB2312" w:hAnsi="仿宋_GB2312" w:eastAsia="仿宋_GB2312"/>
          <w:b w:val="0"/>
          <w:bCs w:val="0"/>
          <w:color w:val="000000"/>
          <w:sz w:val="32"/>
          <w:lang w:val="en-US" w:eastAsia="zh-CN"/>
        </w:rPr>
        <w:t xml:space="preserve">                  </w:t>
      </w:r>
      <w:r>
        <w:rPr>
          <w:rFonts w:hint="eastAsia" w:ascii="仿宋_GB2312" w:hAnsi="仿宋_GB2312" w:eastAsia="仿宋_GB2312"/>
          <w:b w:val="0"/>
          <w:bCs w:val="0"/>
          <w:color w:val="000000"/>
          <w:sz w:val="32"/>
          <w:lang w:val="zh-CN"/>
        </w:rPr>
        <w:t>乙方：</w:t>
      </w:r>
    </w:p>
    <w:p>
      <w:pPr>
        <w:keepNext w:val="0"/>
        <w:keepLines w:val="0"/>
        <w:pageBreakBefore w:val="0"/>
        <w:kinsoku/>
        <w:wordWrap/>
        <w:overflowPunct/>
        <w:topLinePunct w:val="0"/>
        <w:bidi w:val="0"/>
        <w:adjustRightInd/>
        <w:snapToGrid/>
        <w:spacing w:line="560" w:lineRule="exact"/>
        <w:ind w:left="-1869" w:leftChars="-607" w:right="-1953" w:rightChars="-634"/>
        <w:rPr>
          <w:rFonts w:ascii="仿宋_GB2312" w:hAnsi="仿宋_GB2312" w:eastAsia="仿宋_GB2312"/>
          <w:b w:val="0"/>
          <w:bCs w:val="0"/>
          <w:color w:val="000000"/>
          <w:sz w:val="32"/>
          <w:lang w:val="zh-CN"/>
        </w:rPr>
      </w:pPr>
    </w:p>
    <w:p>
      <w:pPr>
        <w:keepNext w:val="0"/>
        <w:keepLines w:val="0"/>
        <w:pageBreakBefore w:val="0"/>
        <w:kinsoku/>
        <w:wordWrap/>
        <w:overflowPunct/>
        <w:topLinePunct w:val="0"/>
        <w:bidi w:val="0"/>
        <w:adjustRightInd/>
        <w:snapToGrid/>
        <w:spacing w:line="560" w:lineRule="exact"/>
        <w:ind w:left="-1869" w:leftChars="-607" w:right="-1953" w:rightChars="-634" w:firstLine="1848" w:firstLineChars="600"/>
        <w:rPr>
          <w:rFonts w:hint="eastAsia" w:ascii="方正仿宋简体" w:hAnsi="方正仿宋简体" w:eastAsia="方正仿宋简体" w:cs="方正仿宋简体"/>
          <w:b w:val="0"/>
          <w:bCs w:val="0"/>
          <w:color w:val="000000"/>
          <w:sz w:val="32"/>
          <w:szCs w:val="32"/>
        </w:rPr>
      </w:pPr>
      <w:r>
        <w:rPr>
          <w:rFonts w:hint="eastAsia" w:ascii="仿宋_GB2312" w:hAnsi="仿宋_GB2312" w:eastAsia="仿宋_GB2312"/>
          <w:b w:val="0"/>
          <w:bCs w:val="0"/>
          <w:color w:val="000000"/>
          <w:sz w:val="32"/>
          <w:lang w:val="zh-CN"/>
        </w:rPr>
        <w:t>日期：</w:t>
      </w:r>
      <w:r>
        <w:rPr>
          <w:rFonts w:ascii="仿宋_GB2312" w:hAnsi="仿宋_GB2312" w:eastAsia="仿宋_GB2312"/>
          <w:b w:val="0"/>
          <w:bCs w:val="0"/>
          <w:color w:val="000000"/>
          <w:sz w:val="32"/>
        </w:rPr>
        <w:t xml:space="preserve">       </w:t>
      </w:r>
      <w:r>
        <w:rPr>
          <w:rFonts w:hint="eastAsia" w:ascii="仿宋_GB2312" w:hAnsi="仿宋_GB2312" w:eastAsia="仿宋_GB2312"/>
          <w:b w:val="0"/>
          <w:bCs w:val="0"/>
          <w:color w:val="000000"/>
          <w:sz w:val="32"/>
          <w:lang w:val="en-US" w:eastAsia="zh-CN"/>
        </w:rPr>
        <w:t xml:space="preserve">           </w:t>
      </w:r>
      <w:r>
        <w:rPr>
          <w:rFonts w:hint="eastAsia" w:ascii="仿宋_GB2312" w:hAnsi="仿宋_GB2312" w:eastAsia="仿宋_GB2312"/>
          <w:b w:val="0"/>
          <w:bCs w:val="0"/>
          <w:color w:val="000000"/>
          <w:sz w:val="32"/>
          <w:lang w:val="zh-CN"/>
        </w:rPr>
        <w:t>日期：</w:t>
      </w:r>
      <w:r>
        <w:rPr>
          <w:rFonts w:ascii="仿宋_GB2312" w:hAnsi="仿宋_GB2312" w:eastAsia="仿宋_GB2312"/>
          <w:b w:val="0"/>
          <w:bCs w:val="0"/>
          <w:color w:val="000000"/>
          <w:sz w:val="32"/>
        </w:rPr>
        <w:t xml:space="preserve"> </w:t>
      </w:r>
    </w:p>
    <w:p>
      <w:pPr>
        <w:keepNext w:val="0"/>
        <w:keepLines w:val="0"/>
        <w:pageBreakBefore w:val="0"/>
        <w:kinsoku/>
        <w:wordWrap/>
        <w:overflowPunct/>
        <w:topLinePunct w:val="0"/>
        <w:bidi w:val="0"/>
        <w:adjustRightInd/>
        <w:snapToGrid/>
        <w:spacing w:line="560" w:lineRule="exact"/>
        <w:rPr>
          <w:rFonts w:hint="eastAsia" w:ascii="黑体" w:hAnsi="黑体" w:eastAsia="黑体" w:cs="黑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rPr>
        <w:br w:type="page"/>
      </w: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4</w:t>
      </w:r>
    </w:p>
    <w:p>
      <w:pPr>
        <w:keepNext w:val="0"/>
        <w:keepLines w:val="0"/>
        <w:pageBreakBefore w:val="0"/>
        <w:kinsoku/>
        <w:wordWrap/>
        <w:overflowPunct/>
        <w:topLinePunct w:val="0"/>
        <w:bidi w:val="0"/>
        <w:adjustRightInd/>
        <w:snapToGrid/>
        <w:spacing w:line="560" w:lineRule="exact"/>
        <w:rPr>
          <w:rFonts w:hint="eastAsia" w:ascii="黑体" w:hAnsi="黑体" w:eastAsia="黑体" w:cs="黑体"/>
          <w:b w:val="0"/>
          <w:bCs w:val="0"/>
          <w:color w:val="000000"/>
          <w:sz w:val="32"/>
          <w:szCs w:val="32"/>
          <w:lang w:val="en-US" w:eastAsia="zh-CN"/>
        </w:rPr>
      </w:pPr>
    </w:p>
    <w:p>
      <w:pPr>
        <w:keepNext w:val="0"/>
        <w:keepLines w:val="0"/>
        <w:pageBreakBefore w:val="0"/>
        <w:kinsoku/>
        <w:wordWrap/>
        <w:overflowPunct/>
        <w:topLinePunct w:val="0"/>
        <w:bidi w:val="0"/>
        <w:adjustRightInd/>
        <w:snapToGrid/>
        <w:spacing w:line="560" w:lineRule="exact"/>
        <w:jc w:val="center"/>
        <w:rPr>
          <w:rFonts w:hint="eastAsia" w:ascii="方正小标宋简体" w:hAnsi="方正小标宋简体" w:eastAsia="方正小标宋简体" w:cs="方正小标宋简体"/>
          <w:b w:val="0"/>
          <w:bCs w:val="0"/>
          <w:color w:val="000000"/>
          <w:spacing w:val="-34"/>
          <w:w w:val="100"/>
          <w:sz w:val="44"/>
          <w:szCs w:val="44"/>
        </w:rPr>
      </w:pPr>
      <w:r>
        <w:rPr>
          <w:rFonts w:hint="eastAsia" w:ascii="方正小标宋简体" w:hAnsi="方正小标宋简体" w:eastAsia="方正小标宋简体" w:cs="方正小标宋简体"/>
          <w:b w:val="0"/>
          <w:bCs w:val="0"/>
          <w:color w:val="000000"/>
          <w:spacing w:val="-34"/>
          <w:w w:val="100"/>
          <w:sz w:val="44"/>
          <w:szCs w:val="44"/>
          <w:lang w:val="en-US" w:eastAsia="zh-CN"/>
        </w:rPr>
        <w:t>XX街道（镇）</w:t>
      </w:r>
      <w:r>
        <w:rPr>
          <w:rFonts w:hint="eastAsia" w:ascii="方正小标宋简体" w:hAnsi="方正小标宋简体" w:eastAsia="方正小标宋简体" w:cs="方正小标宋简体"/>
          <w:b w:val="0"/>
          <w:bCs w:val="0"/>
          <w:color w:val="000000"/>
          <w:spacing w:val="-34"/>
          <w:w w:val="100"/>
          <w:sz w:val="44"/>
          <w:szCs w:val="44"/>
        </w:rPr>
        <w:t>社区居家养老服务照料中心考评办法</w:t>
      </w:r>
    </w:p>
    <w:p>
      <w:pPr>
        <w:keepNext w:val="0"/>
        <w:keepLines w:val="0"/>
        <w:pageBreakBefore w:val="0"/>
        <w:kinsoku/>
        <w:wordWrap/>
        <w:overflowPunct/>
        <w:topLinePunct w:val="0"/>
        <w:bidi w:val="0"/>
        <w:adjustRightInd/>
        <w:snapToGrid/>
        <w:spacing w:line="560" w:lineRule="exact"/>
        <w:jc w:val="center"/>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pacing w:val="-34"/>
          <w:w w:val="100"/>
          <w:sz w:val="32"/>
          <w:szCs w:val="32"/>
          <w:lang w:eastAsia="zh-CN"/>
        </w:rPr>
        <w:t>（</w:t>
      </w:r>
      <w:r>
        <w:rPr>
          <w:rFonts w:hint="eastAsia" w:ascii="楷体_GB2312" w:hAnsi="楷体_GB2312" w:eastAsia="楷体_GB2312" w:cs="楷体_GB2312"/>
          <w:b w:val="0"/>
          <w:bCs w:val="0"/>
          <w:color w:val="000000"/>
          <w:sz w:val="32"/>
          <w:szCs w:val="32"/>
          <w:lang w:eastAsia="zh-CN"/>
        </w:rPr>
        <w:t>参考文本）</w:t>
      </w:r>
    </w:p>
    <w:p>
      <w:pPr>
        <w:keepNext w:val="0"/>
        <w:keepLines w:val="0"/>
        <w:pageBreakBefore w:val="0"/>
        <w:kinsoku/>
        <w:wordWrap/>
        <w:overflowPunct/>
        <w:topLinePunct w:val="0"/>
        <w:bidi w:val="0"/>
        <w:adjustRightInd/>
        <w:snapToGrid/>
        <w:spacing w:line="560" w:lineRule="exact"/>
        <w:jc w:val="center"/>
        <w:rPr>
          <w:rFonts w:hint="eastAsia" w:ascii="楷体_GB2312" w:hAnsi="楷体_GB2312" w:eastAsia="楷体_GB2312" w:cs="楷体_GB2312"/>
          <w:b w:val="0"/>
          <w:bCs w:val="0"/>
          <w:color w:val="000000"/>
          <w:sz w:val="32"/>
          <w:szCs w:val="32"/>
          <w:lang w:eastAsia="zh-CN"/>
        </w:rPr>
      </w:pPr>
    </w:p>
    <w:p>
      <w:pPr>
        <w:keepNext w:val="0"/>
        <w:keepLines w:val="0"/>
        <w:pageBreakBefore w:val="0"/>
        <w:kinsoku/>
        <w:wordWrap/>
        <w:overflowPunct/>
        <w:topLinePunct w:val="0"/>
        <w:bidi w:val="0"/>
        <w:adjustRightInd/>
        <w:snapToGrid/>
        <w:spacing w:line="560" w:lineRule="exact"/>
        <w:rPr>
          <w:rFonts w:hint="eastAsia" w:ascii="仿宋_GB2312" w:hAnsi="黑体" w:eastAsia="仿宋_GB2312" w:cs="黑体"/>
          <w:b w:val="0"/>
          <w:bCs w:val="0"/>
          <w:color w:val="000000"/>
          <w:sz w:val="32"/>
          <w:szCs w:val="32"/>
        </w:rPr>
      </w:pPr>
      <w:r>
        <w:rPr>
          <w:rFonts w:hint="eastAsia" w:ascii="仿宋_GB2312" w:hAnsi="仿宋_GB2312" w:eastAsia="仿宋_GB2312" w:cs="仿宋_GB2312"/>
          <w:b w:val="0"/>
          <w:bCs w:val="0"/>
          <w:color w:val="000000"/>
          <w:sz w:val="32"/>
          <w:szCs w:val="32"/>
        </w:rPr>
        <w:t xml:space="preserve">  </w:t>
      </w:r>
      <w:r>
        <w:rPr>
          <w:rFonts w:hint="eastAsia" w:ascii="黑体" w:hAnsi="黑体" w:eastAsia="黑体" w:cs="黑体"/>
          <w:b w:val="0"/>
          <w:bCs w:val="0"/>
          <w:color w:val="000000"/>
          <w:sz w:val="32"/>
          <w:szCs w:val="32"/>
        </w:rPr>
        <w:t xml:space="preserve">  一、考评范围及原则</w:t>
      </w: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本考评方法适用于社区居家养老服务照料中心（下称“照料中心”），坚持公开透明、公平公正、客观量化、科学专业的原则进行。</w:t>
      </w:r>
    </w:p>
    <w:p>
      <w:pPr>
        <w:keepNext w:val="0"/>
        <w:keepLines w:val="0"/>
        <w:pageBreakBefore w:val="0"/>
        <w:kinsoku/>
        <w:wordWrap/>
        <w:overflowPunct/>
        <w:topLinePunct w:val="0"/>
        <w:bidi w:val="0"/>
        <w:adjustRightInd/>
        <w:snapToGrid/>
        <w:spacing w:line="560" w:lineRule="exact"/>
        <w:rPr>
          <w:rFonts w:hint="eastAsia" w:ascii="仿宋_GB2312" w:hAnsi="黑体" w:eastAsia="仿宋_GB2312" w:cs="黑体"/>
          <w:b w:val="0"/>
          <w:bCs w:val="0"/>
          <w:color w:val="000000"/>
          <w:sz w:val="32"/>
          <w:szCs w:val="32"/>
        </w:rPr>
      </w:pPr>
      <w:r>
        <w:rPr>
          <w:rFonts w:hint="eastAsia" w:ascii="仿宋_GB2312" w:hAnsi="黑体" w:eastAsia="仿宋_GB2312" w:cs="黑体"/>
          <w:b w:val="0"/>
          <w:bCs w:val="0"/>
          <w:color w:val="000000"/>
          <w:sz w:val="32"/>
          <w:szCs w:val="32"/>
        </w:rPr>
        <w:t xml:space="preserve">    </w:t>
      </w:r>
      <w:r>
        <w:rPr>
          <w:rFonts w:hint="eastAsia" w:ascii="黑体" w:hAnsi="黑体" w:eastAsia="黑体" w:cs="黑体"/>
          <w:b w:val="0"/>
          <w:bCs w:val="0"/>
          <w:color w:val="000000"/>
          <w:sz w:val="32"/>
          <w:szCs w:val="32"/>
        </w:rPr>
        <w:t>二、考评构成</w:t>
      </w: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考评结果由3个部分组成：</w:t>
      </w: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rPr>
        <w:t>（一）服务对象评价（占</w:t>
      </w:r>
      <w:r>
        <w:rPr>
          <w:rFonts w:hint="eastAsia" w:ascii="楷体_GB2312" w:hAnsi="楷体_GB2312" w:eastAsia="楷体_GB2312" w:cs="楷体_GB2312"/>
          <w:b w:val="0"/>
          <w:bCs w:val="0"/>
          <w:color w:val="000000"/>
          <w:sz w:val="32"/>
          <w:szCs w:val="32"/>
          <w:lang w:val="en-US" w:eastAsia="zh-CN"/>
        </w:rPr>
        <w:t>3</w:t>
      </w:r>
      <w:r>
        <w:rPr>
          <w:rFonts w:hint="eastAsia" w:ascii="楷体_GB2312" w:hAnsi="楷体_GB2312" w:eastAsia="楷体_GB2312" w:cs="楷体_GB2312"/>
          <w:b w:val="0"/>
          <w:bCs w:val="0"/>
          <w:color w:val="000000"/>
          <w:sz w:val="32"/>
          <w:szCs w:val="32"/>
        </w:rPr>
        <w:t>0%）</w:t>
      </w:r>
      <w:r>
        <w:rPr>
          <w:rFonts w:hint="eastAsia" w:ascii="仿宋_GB2312" w:hAnsi="楷体_GB2312" w:eastAsia="仿宋_GB2312" w:cs="楷体_GB2312"/>
          <w:b w:val="0"/>
          <w:bCs w:val="0"/>
          <w:color w:val="000000"/>
          <w:sz w:val="32"/>
          <w:szCs w:val="32"/>
        </w:rPr>
        <w:t>。</w:t>
      </w:r>
      <w:r>
        <w:rPr>
          <w:rFonts w:hint="eastAsia" w:ascii="仿宋_GB2312" w:hAnsi="仿宋_GB2312" w:eastAsia="仿宋_GB2312" w:cs="仿宋_GB2312"/>
          <w:b w:val="0"/>
          <w:bCs w:val="0"/>
          <w:color w:val="000000"/>
          <w:sz w:val="32"/>
          <w:szCs w:val="32"/>
        </w:rPr>
        <w:t>以老人满意度为指标，</w:t>
      </w:r>
      <w:r>
        <w:rPr>
          <w:rFonts w:hint="eastAsia" w:ascii="仿宋_GB2312" w:hAnsi="仿宋_GB2312" w:eastAsia="仿宋_GB2312" w:cs="仿宋_GB2312"/>
          <w:b w:val="0"/>
          <w:bCs w:val="0"/>
          <w:color w:val="000000"/>
          <w:sz w:val="32"/>
          <w:szCs w:val="32"/>
          <w:lang w:eastAsia="zh-CN"/>
        </w:rPr>
        <w:t>至少</w:t>
      </w:r>
      <w:r>
        <w:rPr>
          <w:rFonts w:hint="eastAsia" w:ascii="仿宋_GB2312" w:hAnsi="仿宋_GB2312" w:eastAsia="仿宋_GB2312" w:cs="仿宋_GB2312"/>
          <w:b w:val="0"/>
          <w:bCs w:val="0"/>
          <w:color w:val="000000"/>
          <w:sz w:val="32"/>
          <w:szCs w:val="32"/>
        </w:rPr>
        <w:t>按服务老人总数的10%随机抽取，询问收集老人的服务评价，投诉建议等；</w:t>
      </w: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b w:val="0"/>
          <w:bCs w:val="0"/>
          <w:color w:val="000000"/>
          <w:sz w:val="32"/>
          <w:szCs w:val="32"/>
        </w:rPr>
      </w:pPr>
      <w:r>
        <w:rPr>
          <w:rFonts w:hint="eastAsia" w:ascii="仿宋_GB2312" w:hAnsi="楷体_GB2312" w:eastAsia="仿宋_GB2312" w:cs="楷体_GB2312"/>
          <w:b w:val="0"/>
          <w:bCs w:val="0"/>
          <w:color w:val="000000"/>
          <w:sz w:val="32"/>
          <w:szCs w:val="32"/>
        </w:rPr>
        <w:t xml:space="preserve">  </w:t>
      </w:r>
      <w:r>
        <w:rPr>
          <w:rFonts w:hint="eastAsia" w:ascii="楷体_GB2312" w:hAnsi="楷体_GB2312" w:eastAsia="楷体_GB2312" w:cs="楷体_GB2312"/>
          <w:b w:val="0"/>
          <w:bCs w:val="0"/>
          <w:color w:val="000000"/>
          <w:sz w:val="32"/>
          <w:szCs w:val="32"/>
        </w:rPr>
        <w:t xml:space="preserve">  （二）</w:t>
      </w:r>
      <w:r>
        <w:rPr>
          <w:rFonts w:hint="eastAsia" w:ascii="楷体_GB2312" w:hAnsi="楷体_GB2312" w:eastAsia="楷体_GB2312" w:cs="楷体_GB2312"/>
          <w:b w:val="0"/>
          <w:bCs w:val="0"/>
          <w:color w:val="000000"/>
          <w:sz w:val="32"/>
          <w:szCs w:val="32"/>
          <w:lang w:val="en-US" w:eastAsia="zh-CN"/>
        </w:rPr>
        <w:t>街镇</w:t>
      </w:r>
      <w:r>
        <w:rPr>
          <w:rFonts w:hint="eastAsia" w:ascii="楷体_GB2312" w:hAnsi="楷体_GB2312" w:eastAsia="楷体_GB2312" w:cs="楷体_GB2312"/>
          <w:b w:val="0"/>
          <w:bCs w:val="0"/>
          <w:color w:val="000000"/>
          <w:sz w:val="32"/>
          <w:szCs w:val="32"/>
        </w:rPr>
        <w:t>考评（占</w:t>
      </w:r>
      <w:r>
        <w:rPr>
          <w:rFonts w:hint="eastAsia" w:ascii="楷体_GB2312" w:hAnsi="楷体_GB2312" w:eastAsia="楷体_GB2312" w:cs="楷体_GB2312"/>
          <w:b w:val="0"/>
          <w:bCs w:val="0"/>
          <w:color w:val="000000"/>
          <w:sz w:val="32"/>
          <w:szCs w:val="32"/>
          <w:lang w:val="en-US" w:eastAsia="zh-CN"/>
        </w:rPr>
        <w:t>40</w:t>
      </w:r>
      <w:r>
        <w:rPr>
          <w:rFonts w:hint="eastAsia" w:ascii="楷体_GB2312" w:hAnsi="楷体_GB2312" w:eastAsia="楷体_GB2312" w:cs="楷体_GB2312"/>
          <w:b w:val="0"/>
          <w:bCs w:val="0"/>
          <w:color w:val="000000"/>
          <w:sz w:val="32"/>
          <w:szCs w:val="32"/>
        </w:rPr>
        <w:t>%）。</w:t>
      </w:r>
      <w:r>
        <w:rPr>
          <w:rFonts w:hint="eastAsia" w:ascii="仿宋_GB2312" w:hAnsi="仿宋_GB2312" w:eastAsia="仿宋_GB2312" w:cs="仿宋_GB2312"/>
          <w:b w:val="0"/>
          <w:bCs w:val="0"/>
          <w:color w:val="000000"/>
          <w:sz w:val="32"/>
          <w:szCs w:val="32"/>
        </w:rPr>
        <w:t>对照料中心基础硬件设施配备、管理制度、服务人员资质等多方面进行考核；</w:t>
      </w: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 xml:space="preserve">    （三）第三方社会评估（</w:t>
      </w:r>
      <w:r>
        <w:rPr>
          <w:rFonts w:hint="eastAsia" w:ascii="楷体_GB2312" w:hAnsi="楷体_GB2312" w:eastAsia="楷体_GB2312" w:cs="楷体_GB2312"/>
          <w:b w:val="0"/>
          <w:bCs w:val="0"/>
          <w:color w:val="000000"/>
          <w:sz w:val="32"/>
          <w:szCs w:val="32"/>
          <w:lang w:val="en-US" w:eastAsia="zh-CN"/>
        </w:rPr>
        <w:t>30</w:t>
      </w:r>
      <w:r>
        <w:rPr>
          <w:rFonts w:hint="eastAsia" w:ascii="楷体_GB2312" w:hAnsi="楷体_GB2312" w:eastAsia="楷体_GB2312" w:cs="楷体_GB2312"/>
          <w:b w:val="0"/>
          <w:bCs w:val="0"/>
          <w:color w:val="000000"/>
          <w:sz w:val="32"/>
          <w:szCs w:val="32"/>
        </w:rPr>
        <w:t>%）。</w:t>
      </w:r>
      <w:r>
        <w:rPr>
          <w:rFonts w:hint="eastAsia" w:ascii="仿宋_GB2312" w:hAnsi="仿宋_GB2312" w:eastAsia="仿宋_GB2312" w:cs="仿宋_GB2312"/>
          <w:b w:val="0"/>
          <w:bCs w:val="0"/>
          <w:color w:val="000000"/>
          <w:sz w:val="32"/>
          <w:szCs w:val="32"/>
        </w:rPr>
        <w:t>引进第三方机构，结合服务辐射情况、服务内容与质量、专业人员配备</w:t>
      </w:r>
      <w:r>
        <w:rPr>
          <w:rFonts w:hint="eastAsia" w:ascii="仿宋_GB2312" w:hAnsi="仿宋_GB2312" w:eastAsia="仿宋_GB2312" w:cs="仿宋_GB2312"/>
          <w:b w:val="0"/>
          <w:bCs w:val="0"/>
          <w:color w:val="000000"/>
          <w:sz w:val="32"/>
          <w:szCs w:val="32"/>
          <w:lang w:eastAsia="zh-CN"/>
        </w:rPr>
        <w:t>、老人满意度</w:t>
      </w:r>
      <w:r>
        <w:rPr>
          <w:rFonts w:hint="eastAsia" w:ascii="仿宋_GB2312" w:hAnsi="仿宋_GB2312" w:eastAsia="仿宋_GB2312" w:cs="仿宋_GB2312"/>
          <w:b w:val="0"/>
          <w:bCs w:val="0"/>
          <w:color w:val="000000"/>
          <w:sz w:val="32"/>
          <w:szCs w:val="32"/>
        </w:rPr>
        <w:t>等进行服务质量评估。</w:t>
      </w:r>
    </w:p>
    <w:p>
      <w:pPr>
        <w:keepNext w:val="0"/>
        <w:keepLines w:val="0"/>
        <w:pageBreakBefore w:val="0"/>
        <w:kinsoku/>
        <w:wordWrap/>
        <w:overflowPunct/>
        <w:topLinePunct w:val="0"/>
        <w:bidi w:val="0"/>
        <w:adjustRightInd/>
        <w:snapToGrid/>
        <w:spacing w:line="560" w:lineRule="exact"/>
        <w:rPr>
          <w:rFonts w:hint="eastAsia" w:ascii="仿宋_GB2312" w:hAnsi="黑体" w:eastAsia="仿宋_GB2312" w:cs="黑体"/>
          <w:b w:val="0"/>
          <w:bCs w:val="0"/>
          <w:color w:val="000000"/>
          <w:sz w:val="32"/>
          <w:szCs w:val="32"/>
        </w:rPr>
      </w:pPr>
      <w:r>
        <w:rPr>
          <w:rFonts w:hint="eastAsia" w:ascii="仿宋_GB2312" w:hAnsi="仿宋_GB2312" w:eastAsia="仿宋_GB2312" w:cs="仿宋_GB2312"/>
          <w:b w:val="0"/>
          <w:bCs w:val="0"/>
          <w:color w:val="000000"/>
          <w:sz w:val="32"/>
          <w:szCs w:val="32"/>
        </w:rPr>
        <w:t xml:space="preserve">  </w:t>
      </w:r>
      <w:r>
        <w:rPr>
          <w:rFonts w:hint="eastAsia" w:ascii="黑体" w:hAnsi="黑体" w:eastAsia="黑体" w:cs="黑体"/>
          <w:b w:val="0"/>
          <w:bCs w:val="0"/>
          <w:color w:val="000000"/>
          <w:sz w:val="32"/>
          <w:szCs w:val="32"/>
        </w:rPr>
        <w:t xml:space="preserve">  三、评估方法与标准</w:t>
      </w:r>
    </w:p>
    <w:p>
      <w:pPr>
        <w:keepNext w:val="0"/>
        <w:keepLines w:val="0"/>
        <w:pageBreakBefore w:val="0"/>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考评方法包括访谈服务对象、查看服务记录、电话调查、实地走访等。</w:t>
      </w:r>
    </w:p>
    <w:p>
      <w:pPr>
        <w:keepNext w:val="0"/>
        <w:keepLines w:val="0"/>
        <w:pageBreakBefore w:val="0"/>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考评标准由场地环境、设备管理、制度建设、服务质量等4个部分组成，具体按照《鼓楼区社区居家养老服务照料中心考评细则》执行。</w:t>
      </w:r>
    </w:p>
    <w:p>
      <w:pPr>
        <w:keepNext w:val="0"/>
        <w:keepLines w:val="0"/>
        <w:pageBreakBefore w:val="0"/>
        <w:kinsoku/>
        <w:wordWrap/>
        <w:overflowPunct/>
        <w:topLinePunct w:val="0"/>
        <w:bidi w:val="0"/>
        <w:adjustRightInd/>
        <w:snapToGrid/>
        <w:spacing w:line="560" w:lineRule="exac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    四、实施程序</w:t>
      </w:r>
    </w:p>
    <w:p>
      <w:pPr>
        <w:keepNext w:val="0"/>
        <w:keepLines w:val="0"/>
        <w:pageBreakBefore w:val="0"/>
        <w:kinsoku/>
        <w:wordWrap/>
        <w:overflowPunct/>
        <w:topLinePunct w:val="0"/>
        <w:bidi w:val="0"/>
        <w:adjustRightInd/>
        <w:snapToGrid/>
        <w:spacing w:line="560" w:lineRule="exact"/>
        <w:ind w:firstLine="640"/>
        <w:rPr>
          <w:rFonts w:hint="eastAsia" w:ascii="仿宋_GB2312" w:hAnsi="楷体_GB2312" w:eastAsia="仿宋_GB2312" w:cs="楷体_GB2312"/>
          <w:b w:val="0"/>
          <w:bCs w:val="0"/>
          <w:color w:val="000000"/>
          <w:sz w:val="32"/>
          <w:szCs w:val="32"/>
        </w:rPr>
      </w:pPr>
      <w:r>
        <w:rPr>
          <w:rFonts w:hint="eastAsia" w:ascii="楷体_GB2312" w:hAnsi="楷体_GB2312" w:eastAsia="楷体_GB2312" w:cs="楷体_GB2312"/>
          <w:b w:val="0"/>
          <w:bCs w:val="0"/>
          <w:color w:val="000000"/>
          <w:sz w:val="32"/>
          <w:szCs w:val="32"/>
        </w:rPr>
        <w:t>（一）常态化监督管理。</w:t>
      </w:r>
      <w:r>
        <w:rPr>
          <w:rFonts w:hint="eastAsia" w:ascii="仿宋_GB2312" w:hAnsi="仿宋_GB2312" w:eastAsia="仿宋_GB2312" w:cs="仿宋_GB2312"/>
          <w:b w:val="0"/>
          <w:bCs w:val="0"/>
          <w:color w:val="000000"/>
          <w:sz w:val="32"/>
          <w:szCs w:val="32"/>
        </w:rPr>
        <w:t>街镇作为责任主体，要加强对照料中心的日常监管，按照省民政厅五星级社区居家养老服务照料中心标准，督促运营方做好照料中心的运营管理。  区民政局</w:t>
      </w:r>
      <w:r>
        <w:rPr>
          <w:rFonts w:hint="eastAsia" w:ascii="仿宋_GB2312" w:hAnsi="仿宋_GB2312" w:eastAsia="仿宋_GB2312" w:cs="仿宋_GB2312"/>
          <w:b w:val="0"/>
          <w:bCs w:val="0"/>
          <w:color w:val="000000"/>
          <w:sz w:val="32"/>
          <w:szCs w:val="32"/>
          <w:lang w:val="en-US" w:eastAsia="zh-CN"/>
        </w:rPr>
        <w:t>通过明查或暗访对十街镇照料中心运营管理及服务质量进行监督和指导</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检查</w:t>
      </w:r>
      <w:r>
        <w:rPr>
          <w:rFonts w:hint="eastAsia" w:ascii="仿宋_GB2312" w:hAnsi="仿宋_GB2312" w:eastAsia="仿宋_GB2312" w:cs="仿宋_GB2312"/>
          <w:b w:val="0"/>
          <w:bCs w:val="0"/>
          <w:color w:val="000000"/>
          <w:sz w:val="32"/>
          <w:szCs w:val="32"/>
        </w:rPr>
        <w:t>结果形成书面材料</w:t>
      </w:r>
      <w:r>
        <w:rPr>
          <w:rFonts w:hint="eastAsia" w:ascii="仿宋_GB2312" w:hAnsi="仿宋_GB2312" w:eastAsia="仿宋_GB2312" w:cs="仿宋_GB2312"/>
          <w:b w:val="0"/>
          <w:bCs w:val="0"/>
          <w:color w:val="000000"/>
          <w:sz w:val="32"/>
          <w:szCs w:val="32"/>
          <w:lang w:val="en-US" w:eastAsia="zh-CN"/>
        </w:rPr>
        <w:t>下发街镇</w:t>
      </w:r>
      <w:r>
        <w:rPr>
          <w:rFonts w:hint="eastAsia" w:ascii="仿宋_GB2312" w:hAnsi="仿宋_GB2312" w:eastAsia="仿宋_GB2312" w:cs="仿宋_GB2312"/>
          <w:b w:val="0"/>
          <w:bCs w:val="0"/>
          <w:color w:val="000000"/>
          <w:sz w:val="32"/>
          <w:szCs w:val="32"/>
        </w:rPr>
        <w:t>，作为年度考评依据。</w:t>
      </w:r>
    </w:p>
    <w:p>
      <w:pPr>
        <w:keepNext w:val="0"/>
        <w:keepLines w:val="0"/>
        <w:pageBreakBefore w:val="0"/>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color w:val="000000"/>
          <w:sz w:val="32"/>
          <w:szCs w:val="32"/>
        </w:rPr>
        <w:t>（二）年度考评。</w:t>
      </w:r>
      <w:r>
        <w:rPr>
          <w:rFonts w:hint="eastAsia" w:ascii="仿宋_GB2312" w:hAnsi="仿宋_GB2312" w:eastAsia="仿宋_GB2312" w:cs="仿宋_GB2312"/>
          <w:b w:val="0"/>
          <w:bCs w:val="0"/>
          <w:color w:val="000000"/>
          <w:sz w:val="32"/>
          <w:szCs w:val="32"/>
        </w:rPr>
        <w:t>对照料中心进行每年一次考评，对服务对象评价、</w:t>
      </w:r>
      <w:r>
        <w:rPr>
          <w:rFonts w:hint="eastAsia" w:ascii="仿宋_GB2312" w:hAnsi="仿宋_GB2312" w:eastAsia="仿宋_GB2312" w:cs="仿宋_GB2312"/>
          <w:b w:val="0"/>
          <w:bCs w:val="0"/>
          <w:color w:val="000000"/>
          <w:sz w:val="32"/>
          <w:szCs w:val="32"/>
          <w:lang w:val="en-US" w:eastAsia="zh-CN"/>
        </w:rPr>
        <w:t>街镇</w:t>
      </w:r>
      <w:r>
        <w:rPr>
          <w:rFonts w:hint="eastAsia" w:ascii="仿宋_GB2312" w:hAnsi="仿宋_GB2312" w:eastAsia="仿宋_GB2312" w:cs="仿宋_GB2312"/>
          <w:b w:val="0"/>
          <w:bCs w:val="0"/>
          <w:color w:val="000000"/>
          <w:sz w:val="32"/>
          <w:szCs w:val="32"/>
        </w:rPr>
        <w:t>考核与第三方组织考核结果进行综合评定，考核结果对外公示10日。其中：</w:t>
      </w:r>
    </w:p>
    <w:p>
      <w:pPr>
        <w:keepNext w:val="0"/>
        <w:keepLines w:val="0"/>
        <w:pageBreakBefore w:val="0"/>
        <w:kinsoku/>
        <w:wordWrap/>
        <w:overflowPunct/>
        <w:topLinePunct w:val="0"/>
        <w:bidi w:val="0"/>
        <w:adjustRightInd/>
        <w:snapToGrid/>
        <w:spacing w:line="560" w:lineRule="exact"/>
        <w:ind w:firstLine="640"/>
        <w:rPr>
          <w:rFonts w:hint="eastAsia" w:ascii="仿宋_GB2312" w:hAnsi="楷体_GB2312" w:eastAsia="仿宋_GB2312" w:cs="楷体_GB2312"/>
          <w:b w:val="0"/>
          <w:bCs w:val="0"/>
          <w:color w:val="000000"/>
          <w:sz w:val="32"/>
          <w:szCs w:val="32"/>
        </w:rPr>
      </w:pPr>
      <w:r>
        <w:rPr>
          <w:rFonts w:hint="eastAsia" w:ascii="仿宋_GB2312" w:hAnsi="仿宋_GB2312" w:eastAsia="仿宋_GB2312" w:cs="仿宋_GB2312"/>
          <w:b w:val="0"/>
          <w:bCs w:val="0"/>
          <w:color w:val="000000"/>
          <w:sz w:val="32"/>
          <w:szCs w:val="32"/>
        </w:rPr>
        <w:t>1.服务对象评价。由由区民政局和区养老信息平台呼叫中心按照《鼓楼区社区居家养老服务照料中心服务对象评价表》执行。</w:t>
      </w:r>
    </w:p>
    <w:p>
      <w:pPr>
        <w:keepNext w:val="0"/>
        <w:keepLines w:val="0"/>
        <w:pageBreakBefore w:val="0"/>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街镇</w:t>
      </w:r>
      <w:r>
        <w:rPr>
          <w:rFonts w:hint="eastAsia" w:ascii="仿宋_GB2312" w:hAnsi="仿宋_GB2312" w:eastAsia="仿宋_GB2312" w:cs="仿宋_GB2312"/>
          <w:b w:val="0"/>
          <w:bCs w:val="0"/>
          <w:color w:val="000000"/>
          <w:sz w:val="32"/>
          <w:szCs w:val="32"/>
        </w:rPr>
        <w:t>考核。由</w:t>
      </w:r>
      <w:r>
        <w:rPr>
          <w:rFonts w:hint="eastAsia" w:ascii="仿宋_GB2312" w:hAnsi="仿宋_GB2312" w:eastAsia="仿宋_GB2312" w:cs="仿宋_GB2312"/>
          <w:b w:val="0"/>
          <w:bCs w:val="0"/>
          <w:color w:val="000000"/>
          <w:sz w:val="32"/>
          <w:szCs w:val="32"/>
          <w:lang w:val="en-US" w:eastAsia="zh-CN"/>
        </w:rPr>
        <w:t>街镇</w:t>
      </w:r>
      <w:r>
        <w:rPr>
          <w:rFonts w:hint="eastAsia" w:ascii="仿宋_GB2312" w:hAnsi="仿宋_GB2312" w:eastAsia="仿宋_GB2312" w:cs="仿宋_GB2312"/>
          <w:b w:val="0"/>
          <w:bCs w:val="0"/>
          <w:color w:val="000000"/>
          <w:sz w:val="32"/>
          <w:szCs w:val="32"/>
        </w:rPr>
        <w:t>根据《鼓楼区社区居家养老服务照料中心考评细则》执行。</w:t>
      </w:r>
    </w:p>
    <w:p>
      <w:pPr>
        <w:keepNext w:val="0"/>
        <w:keepLines w:val="0"/>
        <w:pageBreakBefore w:val="0"/>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3.第三方组织评估。引进第三方组织进行照料中心服务质量评估。评估方案、评估结果、整改提升方案和意见建议上报区民政局。在下一次服务质量评估中加入对原存在问题及整改情况的检查情况反馈。</w:t>
      </w:r>
    </w:p>
    <w:p>
      <w:pPr>
        <w:keepNext w:val="0"/>
        <w:keepLines w:val="0"/>
        <w:pageBreakBefore w:val="0"/>
        <w:kinsoku/>
        <w:wordWrap/>
        <w:overflowPunct/>
        <w:topLinePunct w:val="0"/>
        <w:bidi w:val="0"/>
        <w:adjustRightInd/>
        <w:snapToGrid/>
        <w:spacing w:line="560" w:lineRule="exact"/>
        <w:rPr>
          <w:rFonts w:hint="eastAsia" w:ascii="仿宋_GB2312" w:hAnsi="黑体" w:eastAsia="仿宋_GB2312" w:cs="黑体"/>
          <w:b w:val="0"/>
          <w:bCs w:val="0"/>
          <w:color w:val="000000"/>
          <w:sz w:val="32"/>
          <w:szCs w:val="32"/>
        </w:rPr>
      </w:pPr>
      <w:r>
        <w:rPr>
          <w:rFonts w:hint="eastAsia" w:ascii="仿宋_GB2312" w:hAnsi="楷体_GB2312" w:eastAsia="仿宋_GB2312" w:cs="楷体_GB2312"/>
          <w:b w:val="0"/>
          <w:bCs w:val="0"/>
          <w:color w:val="000000"/>
          <w:sz w:val="32"/>
          <w:szCs w:val="32"/>
        </w:rPr>
        <w:t xml:space="preserve">  </w:t>
      </w:r>
      <w:r>
        <w:rPr>
          <w:rFonts w:hint="eastAsia" w:ascii="黑体" w:hAnsi="黑体" w:eastAsia="黑体" w:cs="黑体"/>
          <w:b w:val="0"/>
          <w:bCs w:val="0"/>
          <w:color w:val="000000"/>
          <w:sz w:val="32"/>
          <w:szCs w:val="32"/>
        </w:rPr>
        <w:t xml:space="preserve">  五、考评结果</w:t>
      </w:r>
    </w:p>
    <w:p>
      <w:pPr>
        <w:keepNext w:val="0"/>
        <w:keepLines w:val="0"/>
        <w:pageBreakBefore w:val="0"/>
        <w:kinsoku/>
        <w:wordWrap/>
        <w:overflowPunct/>
        <w:topLinePunct w:val="0"/>
        <w:bidi w:val="0"/>
        <w:adjustRightInd/>
        <w:snapToGrid/>
        <w:spacing w:line="560" w:lineRule="exac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w:t>
      </w:r>
      <w:r>
        <w:rPr>
          <w:rFonts w:hint="eastAsia" w:ascii="楷体_GB2312" w:hAnsi="楷体_GB2312" w:eastAsia="楷体_GB2312" w:cs="楷体_GB2312"/>
          <w:b w:val="0"/>
          <w:bCs w:val="0"/>
          <w:color w:val="000000"/>
          <w:sz w:val="32"/>
          <w:szCs w:val="32"/>
        </w:rPr>
        <w:t xml:space="preserve">  （一）考评等级。</w:t>
      </w:r>
      <w:r>
        <w:rPr>
          <w:rFonts w:hint="eastAsia" w:ascii="仿宋_GB2312" w:hAnsi="仿宋_GB2312" w:eastAsia="仿宋_GB2312" w:cs="仿宋_GB2312"/>
          <w:b w:val="0"/>
          <w:bCs w:val="0"/>
          <w:color w:val="000000"/>
          <w:sz w:val="32"/>
          <w:szCs w:val="32"/>
        </w:rPr>
        <w:t>考核总分100分。考评结果分4个等次，90分(含90分)以上为优秀、80(含80)-89分为良好、70(含70)-79分为合格、60分以下为不合格。</w:t>
      </w:r>
    </w:p>
    <w:p>
      <w:pPr>
        <w:keepNext w:val="0"/>
        <w:keepLines w:val="0"/>
        <w:pageBreakBefore w:val="0"/>
        <w:kinsoku/>
        <w:wordWrap/>
        <w:overflowPunct/>
        <w:topLinePunct w:val="0"/>
        <w:bidi w:val="0"/>
        <w:adjustRightInd/>
        <w:snapToGrid/>
        <w:spacing w:line="560" w:lineRule="exact"/>
        <w:rPr>
          <w:rFonts w:hint="eastAsia" w:ascii="仿宋_GB2312" w:hAnsi="楷体_GB2312" w:eastAsia="仿宋_GB2312" w:cs="楷体_GB2312"/>
          <w:b w:val="0"/>
          <w:bCs w:val="0"/>
          <w:color w:val="000000"/>
          <w:sz w:val="32"/>
          <w:szCs w:val="32"/>
        </w:rPr>
      </w:pPr>
      <w:r>
        <w:rPr>
          <w:rFonts w:hint="eastAsia" w:ascii="仿宋_GB2312" w:hAnsi="楷体_GB2312" w:eastAsia="仿宋_GB2312" w:cs="楷体_GB2312"/>
          <w:b w:val="0"/>
          <w:bCs w:val="0"/>
          <w:color w:val="000000"/>
          <w:sz w:val="32"/>
          <w:szCs w:val="32"/>
        </w:rPr>
        <w:t xml:space="preserve">  </w:t>
      </w:r>
      <w:r>
        <w:rPr>
          <w:rFonts w:hint="eastAsia" w:ascii="楷体_GB2312" w:hAnsi="楷体_GB2312" w:eastAsia="楷体_GB2312" w:cs="楷体_GB2312"/>
          <w:b w:val="0"/>
          <w:bCs w:val="0"/>
          <w:color w:val="000000"/>
          <w:sz w:val="32"/>
          <w:szCs w:val="32"/>
        </w:rPr>
        <w:t xml:space="preserve"> （二）奖惩措施。</w:t>
      </w:r>
    </w:p>
    <w:p>
      <w:pPr>
        <w:keepNext w:val="0"/>
        <w:keepLines w:val="0"/>
        <w:pageBreakBefore w:val="0"/>
        <w:numPr>
          <w:ilvl w:val="0"/>
          <w:numId w:val="1"/>
        </w:numPr>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对考评结果为优秀的运营方，通过以奖代补等形式助强培优。</w:t>
      </w:r>
    </w:p>
    <w:p>
      <w:pPr>
        <w:keepNext w:val="0"/>
        <w:keepLines w:val="0"/>
        <w:pageBreakBefore w:val="0"/>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2.对考评结果为良好及以下的照料中心，由街镇发出《整改通知书》，责令照料中心运营方在15日内整改到位</w:t>
      </w:r>
      <w:r>
        <w:rPr>
          <w:rFonts w:hint="eastAsia" w:ascii="仿宋_GB2312" w:hAnsi="仿宋_GB2312" w:eastAsia="仿宋_GB2312" w:cs="仿宋_GB2312"/>
          <w:b w:val="0"/>
          <w:bCs w:val="0"/>
          <w:color w:val="000000"/>
          <w:sz w:val="32"/>
          <w:szCs w:val="32"/>
          <w:lang w:eastAsia="zh-CN"/>
        </w:rPr>
        <w:t>。</w:t>
      </w:r>
    </w:p>
    <w:p>
      <w:pPr>
        <w:keepNext w:val="0"/>
        <w:keepLines w:val="0"/>
        <w:pageBreakBefore w:val="0"/>
        <w:kinsoku/>
        <w:wordWrap/>
        <w:overflowPunct/>
        <w:topLinePunct w:val="0"/>
        <w:bidi w:val="0"/>
        <w:adjustRightInd/>
        <w:snapToGrid/>
        <w:spacing w:line="56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3.考评结果为不合格、对《整改通知书》所述事项拒不整改或连续两次整改不到位的照料中心，街镇应中止与运营方的运营合同，且该企业</w:t>
      </w:r>
      <w:r>
        <w:rPr>
          <w:rFonts w:hint="eastAsia" w:ascii="仿宋_GB2312" w:hAnsi="仿宋_GB2312" w:eastAsia="仿宋_GB2312" w:cs="仿宋_GB2312"/>
          <w:b w:val="0"/>
          <w:bCs w:val="0"/>
          <w:color w:val="000000"/>
          <w:sz w:val="32"/>
          <w:szCs w:val="32"/>
          <w:lang w:val="en-US" w:eastAsia="zh-CN"/>
        </w:rPr>
        <w:t>或</w:t>
      </w:r>
      <w:r>
        <w:rPr>
          <w:rFonts w:hint="eastAsia" w:ascii="仿宋_GB2312" w:hAnsi="仿宋_GB2312" w:eastAsia="仿宋_GB2312" w:cs="仿宋_GB2312"/>
          <w:b w:val="0"/>
          <w:bCs w:val="0"/>
          <w:color w:val="000000"/>
          <w:sz w:val="32"/>
          <w:szCs w:val="32"/>
        </w:rPr>
        <w:t>社会组织在两年内不得承接</w:t>
      </w:r>
      <w:r>
        <w:rPr>
          <w:rFonts w:hint="eastAsia" w:ascii="仿宋_GB2312" w:hAnsi="仿宋_GB2312" w:eastAsia="仿宋_GB2312" w:cs="仿宋_GB2312"/>
          <w:b w:val="0"/>
          <w:bCs w:val="0"/>
          <w:color w:val="000000"/>
          <w:sz w:val="32"/>
          <w:szCs w:val="32"/>
          <w:lang w:eastAsia="zh-CN"/>
        </w:rPr>
        <w:t>鼓楼区</w:t>
      </w:r>
      <w:r>
        <w:rPr>
          <w:rFonts w:hint="eastAsia" w:ascii="仿宋_GB2312" w:hAnsi="仿宋_GB2312" w:eastAsia="仿宋_GB2312" w:cs="仿宋_GB2312"/>
          <w:b w:val="0"/>
          <w:bCs w:val="0"/>
          <w:color w:val="000000"/>
          <w:sz w:val="32"/>
          <w:szCs w:val="32"/>
        </w:rPr>
        <w:t>养老服务项目。</w:t>
      </w:r>
    </w:p>
    <w:p>
      <w:pPr>
        <w:keepNext w:val="0"/>
        <w:keepLines w:val="0"/>
        <w:pageBreakBefore w:val="0"/>
        <w:kinsoku/>
        <w:wordWrap/>
        <w:overflowPunct/>
        <w:topLinePunct w:val="0"/>
        <w:bidi w:val="0"/>
        <w:adjustRightInd/>
        <w:snapToGrid/>
        <w:spacing w:line="560" w:lineRule="exact"/>
        <w:ind w:firstLine="640"/>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4.考核结果作为政府购买服务兑付依据，具体兑付比例由街镇自行确定。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16"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1.XX街道（镇）社区居家养老服务照料中心服务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540" w:firstLineChars="5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对象（含政府购买居家养老服务对象）评价表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2.服务对象评价访问统计表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3.XX街道（镇）社区居家养老服务照料中心考评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rtlGutter w:val="0"/>
          <w:docGrid w:type="lines" w:linePitch="33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924" w:firstLineChars="300"/>
        <w:jc w:val="both"/>
        <w:textAlignment w:val="auto"/>
        <w:outlineLvl w:val="9"/>
        <w:rPr>
          <w:rFonts w:hint="eastAsia" w:ascii="仿宋_GB2312" w:hAnsi="仿宋_GB2312" w:eastAsia="仿宋_GB2312" w:cs="仿宋_GB2312"/>
          <w:b w:val="0"/>
          <w:bCs w:val="0"/>
          <w:color w:val="000000"/>
          <w:sz w:val="32"/>
          <w:szCs w:val="32"/>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4-1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XX街道（镇）社区居家养老服务照料中心服务对象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eastAsia="zh-CN"/>
        </w:rPr>
      </w:pPr>
      <w:r>
        <w:rPr>
          <w:rFonts w:hint="eastAsia" w:ascii="方正小标宋简体" w:hAnsi="方正小标宋简体" w:eastAsia="方正小标宋简体" w:cs="方正小标宋简体"/>
          <w:b w:val="0"/>
          <w:bCs w:val="0"/>
          <w:color w:val="000000"/>
          <w:sz w:val="44"/>
          <w:szCs w:val="44"/>
          <w:lang w:eastAsia="zh-CN"/>
        </w:rPr>
        <w:t>（含政府购买居家养老服务对象）评价表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94"/>
        <w:gridCol w:w="2580"/>
        <w:gridCol w:w="6465"/>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7" w:hRule="atLeast"/>
        </w:trPr>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服务满意度（50分）</w:t>
            </w:r>
          </w:p>
        </w:tc>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老人评价（20分）</w:t>
            </w:r>
          </w:p>
        </w:tc>
        <w:tc>
          <w:tcPr>
            <w:tcW w:w="9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电话回访：按服务老人的总数抽取10%，围绕照料中心服务质量、收费标准进行随机询问，满意不扣分，不满意扣1分。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3" w:hRule="atLeast"/>
        </w:trPr>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9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入户回访：按服务老人的总数抽取10%进行随机入户询问，满意不扣分，不满意扣1分。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25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平台评价（20分）</w:t>
            </w:r>
          </w:p>
        </w:tc>
        <w:tc>
          <w:tcPr>
            <w:tcW w:w="9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Style w:val="6"/>
                <w:rFonts w:hAnsi="宋体"/>
                <w:b w:val="0"/>
                <w:bCs w:val="0"/>
                <w:color w:val="000000"/>
                <w:lang w:val="en-US" w:eastAsia="zh-CN" w:bidi="ar"/>
              </w:rPr>
              <w:t>在鼓楼区养老信息平台开展服务满意率调查，用满意、不满意评价。10%＞不满意率</w:t>
            </w:r>
            <w:r>
              <w:rPr>
                <w:rStyle w:val="7"/>
                <w:b w:val="0"/>
                <w:bCs w:val="0"/>
                <w:color w:val="000000"/>
                <w:lang w:val="en-US" w:eastAsia="zh-CN" w:bidi="ar"/>
              </w:rPr>
              <w:t>≧</w:t>
            </w:r>
            <w:r>
              <w:rPr>
                <w:rStyle w:val="6"/>
                <w:rFonts w:hAnsi="宋体"/>
                <w:b w:val="0"/>
                <w:bCs w:val="0"/>
                <w:color w:val="000000"/>
                <w:lang w:val="en-US" w:eastAsia="zh-CN" w:bidi="ar"/>
              </w:rPr>
              <w:t>5%扣1分，15%＞不满意率</w:t>
            </w:r>
            <w:r>
              <w:rPr>
                <w:rStyle w:val="8"/>
                <w:b w:val="0"/>
                <w:bCs w:val="0"/>
                <w:color w:val="000000"/>
                <w:lang w:val="en-US" w:eastAsia="zh-CN" w:bidi="ar"/>
              </w:rPr>
              <w:t>≧</w:t>
            </w:r>
            <w:r>
              <w:rPr>
                <w:rStyle w:val="6"/>
                <w:rFonts w:hAnsi="宋体"/>
                <w:b w:val="0"/>
                <w:bCs w:val="0"/>
                <w:color w:val="000000"/>
                <w:lang w:val="en-US" w:eastAsia="zh-CN" w:bidi="ar"/>
              </w:rPr>
              <w:t>10%的扣3分，不满意率</w:t>
            </w:r>
            <w:r>
              <w:rPr>
                <w:rStyle w:val="7"/>
                <w:b w:val="0"/>
                <w:bCs w:val="0"/>
                <w:color w:val="000000"/>
                <w:lang w:val="en-US" w:eastAsia="zh-CN" w:bidi="ar"/>
              </w:rPr>
              <w:t>≧</w:t>
            </w:r>
            <w:r>
              <w:rPr>
                <w:rStyle w:val="6"/>
                <w:rFonts w:hAnsi="宋体"/>
                <w:b w:val="0"/>
                <w:bCs w:val="0"/>
                <w:color w:val="000000"/>
                <w:lang w:val="en-US" w:eastAsia="zh-CN" w:bidi="ar"/>
              </w:rPr>
              <w:t>15%的扣5分。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25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9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Style w:val="6"/>
                <w:rFonts w:hAnsi="宋体"/>
                <w:b w:val="0"/>
                <w:bCs w:val="0"/>
                <w:color w:val="000000"/>
                <w:lang w:val="en-US" w:eastAsia="zh-CN" w:bidi="ar"/>
              </w:rPr>
              <w:t>统计12345平台投诉件。同类投诉</w:t>
            </w:r>
            <w:r>
              <w:rPr>
                <w:rStyle w:val="7"/>
                <w:b w:val="0"/>
                <w:bCs w:val="0"/>
                <w:color w:val="000000"/>
                <w:lang w:val="en-US" w:eastAsia="zh-CN" w:bidi="ar"/>
              </w:rPr>
              <w:t>≧</w:t>
            </w:r>
            <w:r>
              <w:rPr>
                <w:rStyle w:val="6"/>
                <w:rFonts w:hAnsi="宋体"/>
                <w:b w:val="0"/>
                <w:bCs w:val="0"/>
                <w:color w:val="000000"/>
                <w:lang w:val="en-US" w:eastAsia="zh-CN" w:bidi="ar"/>
              </w:rPr>
              <w:t>3件扣3分，投诉累计</w:t>
            </w:r>
            <w:r>
              <w:rPr>
                <w:rStyle w:val="7"/>
                <w:b w:val="0"/>
                <w:bCs w:val="0"/>
                <w:color w:val="000000"/>
                <w:lang w:val="en-US" w:eastAsia="zh-CN" w:bidi="ar"/>
              </w:rPr>
              <w:t>≧</w:t>
            </w:r>
            <w:r>
              <w:rPr>
                <w:rStyle w:val="6"/>
                <w:rFonts w:hAnsi="宋体"/>
                <w:b w:val="0"/>
                <w:bCs w:val="0"/>
                <w:color w:val="000000"/>
                <w:lang w:val="en-US" w:eastAsia="zh-CN" w:bidi="ar"/>
              </w:rPr>
              <w:t>5件的扣2分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7" w:hRule="atLeast"/>
        </w:trPr>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电话投诉（10分）</w:t>
            </w:r>
          </w:p>
        </w:tc>
        <w:tc>
          <w:tcPr>
            <w:tcW w:w="9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宋体" w:eastAsia="仿宋_GB2312" w:cs="仿宋_GB2312"/>
                <w:b w:val="0"/>
                <w:bCs w:val="0"/>
                <w:i w:val="0"/>
                <w:color w:val="000000"/>
                <w:sz w:val="28"/>
                <w:szCs w:val="28"/>
                <w:u w:val="none"/>
              </w:rPr>
            </w:pPr>
            <w:r>
              <w:rPr>
                <w:rStyle w:val="6"/>
                <w:rFonts w:hAnsi="宋体"/>
                <w:b w:val="0"/>
                <w:bCs w:val="0"/>
                <w:color w:val="000000"/>
                <w:lang w:val="en-US" w:eastAsia="zh-CN" w:bidi="ar"/>
              </w:rPr>
              <w:t>电话投诉：统计政府养老热线12349电话投诉次数。10次＞投诉</w:t>
            </w:r>
            <w:r>
              <w:rPr>
                <w:rStyle w:val="7"/>
                <w:b w:val="0"/>
                <w:bCs w:val="0"/>
                <w:color w:val="000000"/>
                <w:lang w:val="en-US" w:eastAsia="zh-CN" w:bidi="ar"/>
              </w:rPr>
              <w:t>≧</w:t>
            </w:r>
            <w:r>
              <w:rPr>
                <w:rStyle w:val="6"/>
                <w:rFonts w:hAnsi="宋体"/>
                <w:b w:val="0"/>
                <w:bCs w:val="0"/>
                <w:color w:val="000000"/>
                <w:lang w:val="en-US" w:eastAsia="zh-CN" w:bidi="ar"/>
              </w:rPr>
              <w:t>5次扣3分，15次＞投诉</w:t>
            </w:r>
            <w:r>
              <w:rPr>
                <w:rStyle w:val="7"/>
                <w:b w:val="0"/>
                <w:bCs w:val="0"/>
                <w:color w:val="000000"/>
                <w:lang w:val="en-US" w:eastAsia="zh-CN" w:bidi="ar"/>
              </w:rPr>
              <w:t>≧</w:t>
            </w:r>
            <w:r>
              <w:rPr>
                <w:rStyle w:val="6"/>
                <w:rFonts w:hAnsi="宋体"/>
                <w:b w:val="0"/>
                <w:bCs w:val="0"/>
                <w:color w:val="000000"/>
                <w:lang w:val="en-US" w:eastAsia="zh-CN" w:bidi="ar"/>
              </w:rPr>
              <w:t>10次扣5分，投诉</w:t>
            </w:r>
            <w:r>
              <w:rPr>
                <w:rStyle w:val="7"/>
                <w:b w:val="0"/>
                <w:bCs w:val="0"/>
                <w:color w:val="000000"/>
                <w:lang w:val="en-US" w:eastAsia="zh-CN" w:bidi="ar"/>
              </w:rPr>
              <w:t>≧</w:t>
            </w:r>
            <w:r>
              <w:rPr>
                <w:rStyle w:val="6"/>
                <w:rFonts w:hAnsi="宋体"/>
                <w:b w:val="0"/>
                <w:bCs w:val="0"/>
                <w:color w:val="000000"/>
                <w:lang w:val="en-US" w:eastAsia="zh-CN" w:bidi="ar"/>
              </w:rPr>
              <w:t>15次的扣10分。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88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服务满意度问卷：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88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1.您对照料中心的总体评价（满意，不满意）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88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2.您觉得照料中心提供的服务能否满足需求或享受的是什么服务（就餐、医疗护理、日托、上门服务等）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88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3.您在照料中心感到是否舒适、方便（日托、短托等住宿情况）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88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4.您对照料中心服务态度是否满意，上门服务是否拖拉，服务是否到位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88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5.您对照料中心的收费标准是否满意，照料中心是否有主动公开收费项目及标准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43" w:type="dxa"/>
          <w:trHeight w:val="285" w:hRule="atLeast"/>
        </w:trPr>
        <w:tc>
          <w:tcPr>
            <w:tcW w:w="10739"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6.您对照料中心的投诉或建议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4-2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服务对象评价访问统计表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4"/>
        <w:gridCol w:w="1468"/>
        <w:gridCol w:w="1887"/>
        <w:gridCol w:w="3489"/>
        <w:gridCol w:w="1132"/>
        <w:gridCol w:w="1332"/>
        <w:gridCol w:w="3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序号</w:t>
            </w:r>
          </w:p>
        </w:tc>
        <w:tc>
          <w:tcPr>
            <w:tcW w:w="14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姓名</w:t>
            </w:r>
          </w:p>
        </w:tc>
        <w:tc>
          <w:tcPr>
            <w:tcW w:w="18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联系方式</w:t>
            </w:r>
          </w:p>
        </w:tc>
        <w:tc>
          <w:tcPr>
            <w:tcW w:w="34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所在照料中心名称</w:t>
            </w:r>
          </w:p>
        </w:tc>
        <w:tc>
          <w:tcPr>
            <w:tcW w:w="24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对照料中心评价</w:t>
            </w:r>
          </w:p>
        </w:tc>
        <w:tc>
          <w:tcPr>
            <w:tcW w:w="3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color w:val="000000"/>
                <w:sz w:val="28"/>
                <w:szCs w:val="28"/>
                <w:u w:val="none"/>
              </w:rPr>
            </w:pPr>
          </w:p>
        </w:tc>
        <w:tc>
          <w:tcPr>
            <w:tcW w:w="1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color w:val="000000"/>
                <w:sz w:val="28"/>
                <w:szCs w:val="28"/>
                <w:u w:val="none"/>
              </w:rPr>
            </w:pPr>
          </w:p>
        </w:tc>
        <w:tc>
          <w:tcPr>
            <w:tcW w:w="18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color w:val="000000"/>
                <w:sz w:val="28"/>
                <w:szCs w:val="28"/>
                <w:u w:val="none"/>
              </w:rPr>
            </w:pPr>
          </w:p>
        </w:tc>
        <w:tc>
          <w:tcPr>
            <w:tcW w:w="34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color w:val="000000"/>
                <w:sz w:val="28"/>
                <w:szCs w:val="28"/>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满意</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不满意</w:t>
            </w:r>
          </w:p>
        </w:tc>
        <w:tc>
          <w:tcPr>
            <w:tcW w:w="3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2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c>
          <w:tcPr>
            <w:tcW w:w="3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3836" w:type="dxa"/>
            <w:gridSpan w:val="7"/>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 xml:space="preserve">                     访问人员：</w:t>
            </w:r>
            <w:r>
              <w:rPr>
                <w:rFonts w:hint="eastAsia" w:ascii="宋体" w:hAnsi="宋体" w:eastAsia="宋体" w:cs="宋体"/>
                <w:b w:val="0"/>
                <w:bCs w:val="0"/>
                <w:i w:val="0"/>
                <w:color w:val="000000"/>
                <w:kern w:val="0"/>
                <w:sz w:val="28"/>
                <w:szCs w:val="28"/>
                <w:u w:val="single"/>
                <w:lang w:val="en-US" w:eastAsia="zh-CN" w:bidi="ar"/>
              </w:rPr>
              <w:t xml:space="preserve">                   </w:t>
            </w:r>
            <w:r>
              <w:rPr>
                <w:rFonts w:hint="eastAsia" w:ascii="宋体" w:hAnsi="宋体" w:eastAsia="宋体" w:cs="宋体"/>
                <w:b w:val="0"/>
                <w:bCs w:val="0"/>
                <w:i w:val="0"/>
                <w:color w:val="000000"/>
                <w:kern w:val="0"/>
                <w:sz w:val="28"/>
                <w:szCs w:val="28"/>
                <w:u w:val="none"/>
                <w:lang w:val="en-US" w:eastAsia="zh-CN" w:bidi="ar"/>
              </w:rPr>
              <w:t xml:space="preserve">  访问时间：</w:t>
            </w:r>
            <w:r>
              <w:rPr>
                <w:rFonts w:hint="eastAsia" w:ascii="宋体" w:hAnsi="宋体" w:eastAsia="宋体" w:cs="宋体"/>
                <w:b w:val="0"/>
                <w:bCs w:val="0"/>
                <w:i w:val="0"/>
                <w:color w:val="000000"/>
                <w:kern w:val="0"/>
                <w:sz w:val="28"/>
                <w:szCs w:val="28"/>
                <w:u w:val="single"/>
                <w:lang w:val="en-US" w:eastAsia="zh-CN" w:bidi="ar"/>
              </w:rPr>
              <w:t xml:space="preserve">                     </w:t>
            </w:r>
            <w:r>
              <w:rPr>
                <w:rFonts w:hint="eastAsia" w:ascii="宋体" w:hAnsi="宋体" w:eastAsia="宋体" w:cs="宋体"/>
                <w:b w:val="0"/>
                <w:bCs w:val="0"/>
                <w:i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3836" w:type="dxa"/>
            <w:gridSpan w:val="7"/>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8"/>
                <w:szCs w:val="28"/>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4-3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XX街道（镇）社区居家养老服务照料中心考评细则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2"/>
        <w:gridCol w:w="1204"/>
        <w:gridCol w:w="10334"/>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黑体" w:hAnsi="宋体" w:eastAsia="黑体" w:cs="黑体"/>
                <w:b w:val="0"/>
                <w:bCs w:val="0"/>
                <w:i w:val="0"/>
                <w:color w:val="000000"/>
                <w:sz w:val="28"/>
                <w:szCs w:val="28"/>
                <w:u w:val="none"/>
              </w:rPr>
            </w:pPr>
            <w:r>
              <w:rPr>
                <w:rFonts w:hint="eastAsia" w:ascii="黑体" w:hAnsi="宋体" w:eastAsia="黑体" w:cs="黑体"/>
                <w:b w:val="0"/>
                <w:bCs w:val="0"/>
                <w:i w:val="0"/>
                <w:color w:val="000000"/>
                <w:kern w:val="0"/>
                <w:sz w:val="28"/>
                <w:szCs w:val="28"/>
                <w:u w:val="none"/>
                <w:lang w:val="en-US" w:eastAsia="zh-CN" w:bidi="ar"/>
              </w:rPr>
              <w:t>项目</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宋体" w:eastAsia="黑体" w:cs="黑体"/>
                <w:b w:val="0"/>
                <w:bCs w:val="0"/>
                <w:i w:val="0"/>
                <w:color w:val="000000"/>
                <w:sz w:val="28"/>
                <w:szCs w:val="28"/>
                <w:u w:val="none"/>
              </w:rPr>
            </w:pPr>
            <w:r>
              <w:rPr>
                <w:rFonts w:hint="eastAsia" w:ascii="黑体" w:hAnsi="宋体" w:eastAsia="黑体" w:cs="黑体"/>
                <w:b w:val="0"/>
                <w:bCs w:val="0"/>
                <w:i w:val="0"/>
                <w:color w:val="000000"/>
                <w:kern w:val="0"/>
                <w:sz w:val="28"/>
                <w:szCs w:val="28"/>
                <w:u w:val="none"/>
                <w:lang w:val="en-US" w:eastAsia="zh-CN" w:bidi="ar"/>
              </w:rPr>
              <w:t>考核内容</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宋体" w:eastAsia="黑体" w:cs="黑体"/>
                <w:b w:val="0"/>
                <w:bCs w:val="0"/>
                <w:i w:val="0"/>
                <w:color w:val="000000"/>
                <w:sz w:val="28"/>
                <w:szCs w:val="28"/>
                <w:u w:val="none"/>
              </w:rPr>
            </w:pPr>
            <w:r>
              <w:rPr>
                <w:rFonts w:hint="eastAsia" w:ascii="黑体" w:hAnsi="宋体" w:eastAsia="黑体" w:cs="黑体"/>
                <w:b w:val="0"/>
                <w:bCs w:val="0"/>
                <w:i w:val="0"/>
                <w:color w:val="000000"/>
                <w:kern w:val="0"/>
                <w:sz w:val="28"/>
                <w:szCs w:val="28"/>
                <w:u w:val="none"/>
                <w:lang w:val="en-US" w:eastAsia="zh-CN" w:bidi="ar"/>
              </w:rPr>
              <w:t>考核细则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宋体" w:eastAsia="黑体" w:cs="黑体"/>
                <w:b w:val="0"/>
                <w:bCs w:val="0"/>
                <w:i w:val="0"/>
                <w:color w:val="000000"/>
                <w:sz w:val="28"/>
                <w:szCs w:val="28"/>
                <w:u w:val="none"/>
              </w:rPr>
            </w:pPr>
            <w:r>
              <w:rPr>
                <w:rFonts w:hint="eastAsia" w:ascii="黑体" w:hAnsi="宋体" w:eastAsia="黑体" w:cs="黑体"/>
                <w:b w:val="0"/>
                <w:bCs w:val="0"/>
                <w:i w:val="0"/>
                <w:color w:val="000000"/>
                <w:kern w:val="0"/>
                <w:sz w:val="28"/>
                <w:szCs w:val="28"/>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星级评定</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必备条件</w:t>
            </w:r>
          </w:p>
        </w:tc>
        <w:tc>
          <w:tcPr>
            <w:tcW w:w="114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符合福建省社区居家养老服务照料中心五星级评定标准，本项目具有考评一票否决权。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14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两年内发生人员伤害、火灾、食品安全、医疗护理等安全事故或1年内媒体曝光属实达5次的，直接评估不合格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场地环境</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 xml:space="preserve">标识清晰   </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照料中心标识牌统一、美观（1分），悬挂良好（1分）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Calibri" w:hAnsi="Calibri" w:eastAsia="宋体" w:cs="Calibri"/>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有水池、坡道、楼梯、阳台等危险易滑到地段的，须设置警示牌（1分），安装防护设施（1分）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default" w:ascii="Calibri" w:hAnsi="Calibri" w:eastAsia="宋体" w:cs="Calibri"/>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用房设置</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设有日常生活、医疗保健、公共活动、管理服务等专门用房，并保持专房专用（2分），满足老人多样需求。</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default" w:ascii="Calibri" w:hAnsi="Calibri" w:eastAsia="宋体" w:cs="Calibri"/>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环境卫生</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保持干净：地面、墙面、天花板、门窗、家具、灯具无污染灰尘、杂物等，每日清扫（2分）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default" w:ascii="Calibri" w:hAnsi="Calibri" w:eastAsia="宋体" w:cs="Calibri"/>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摆放有序：室内用物摆放整齐，脸盆等个人生活用品摆放有固定位置（2分）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default" w:ascii="Calibri" w:hAnsi="Calibri" w:eastAsia="宋体" w:cs="Calibri"/>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走廊畅通：保持公共区域畅通，无杂物堆放（2分）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default" w:ascii="Calibri" w:hAnsi="Calibri" w:eastAsia="宋体" w:cs="Calibri"/>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设备管理</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维修及时</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配有维护人员，定期对设施设备进行维护（1分）；能及时以保证设施设备的正常运行（1分）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设备运行</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服务设施设备运行良好，有发现1件设备存在较大破损、严重影响使用，甚至停用的，扣1分，扣满4分止。</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安全监控</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有安全监控系统，安防设施设备完善、灵敏、有效，能覆盖80%建筑面积和重要场所（2分）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制度建设</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常规制度</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设立财务管理、档案管理、环境卫生、食品安全、医疗护理安全、人身财产安全、保卫安全等规章制度，每项1分。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日常管理制度、功能室须知及标识牌上墙（1分），张贴整齐、不杂乱（1分）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固定工作人员有签订聘用合同（1分）；对服务工作人员实行任期考核制，并将考核结果对外公示，接受群众监督（1分）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按规定将运营情况按时上报主管部门，做好信息统计工作（1分）；配合相关业务部门和上级领导单位开展检查、宣传活动（2分）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安全管理</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安全管理组织健全，落实安全责任制，做到分工职责明确（2分）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5"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针对照料中心实际情况，建立各种疾病、事故、灾害、消防、公共突发事件应急处理方案（1分）；安全、消防检查记录完备并形成定期检查制度，存有安全检查档案，记录详细（1分）；开展应急演练活动（1分）；召开安全专题会议，有年度安全计划，有安全操作规范，签订安全责任书（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对自伤、伤人、跌倒、坠床、噎食、误吸、走失、烫伤等事件有明确应急处理流程和报告制度（2分）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建立出入、探视、请销假等人员流动制度，防止老年人走失（2分）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有安全专职人员，每年接受在岗教育培训，熟悉安全管理相关法律法规及技术规范，能处理突发安全事件（2分）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24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kern w:val="0"/>
                <w:sz w:val="28"/>
                <w:szCs w:val="28"/>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服务质量</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p>
        </w:tc>
        <w:tc>
          <w:tcPr>
            <w:tcW w:w="12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kern w:val="0"/>
                <w:sz w:val="28"/>
                <w:szCs w:val="28"/>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 xml:space="preserve">              服务项目</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生活照料服务：提供日托、用餐等一般照料和陪护等服务，为家属需要喘息服务的老年人提供短期寄养服务（2分）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健康保健服务：为老年人提供康复训练、康乐活动、养生指导等服务（2分）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文体娱乐服务：为老年人提供有益身心健康的文体活动、老年教育、报刊和图书阅览等服务（2分）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精神慰藉服务：为老年人提供聊天谈心、心理疏导等服务（2分）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法律维权服务：提供法律咨询、法律援助，维护老年人合法权益等服务（2分）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居家上门服务：包括助餐、助洁、助急、助浴、助行、助医等服务（2分）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健康档案服务：老年人健康信息采集、整理和档案动态管理（2分）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服务规范</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服务达到标准要求，符合福建省《城市社区居家养老服务规范》等相关规定（2分）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24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与服务对象或家属（监护人）签订委托服务协议书（合同），明确明确双方的责任、权利和义务等协议内容和管理程序（2分）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24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服务质量</w:t>
            </w: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建立服务工作日记台帐、服务质量检查考核台帐，台帐资料完整齐全（2分）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服务记录、服务质量评价等有关服务材料填写记录及时（1分），纸质和电子档完整，保管妥善（2分）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对服务对象信息进行妥善保管，有专门信息保密机制（1分）和人员（1分）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服务流程规范，从接受服务申请、确定服务对象、确认服务项目、与服务对象签订服务协议、安排人员开展服务、回访监督等全过程有明确要求（3分）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对服务规范有定期自查；接受业务指导管理部门抽查并留有记录（2分）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服务改进：有服务投诉渠道及调解机制，有征求意见渠道，定期检查整改并留有记录（2分）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9"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kern w:val="0"/>
                <w:sz w:val="28"/>
                <w:szCs w:val="28"/>
                <w:u w:val="none"/>
                <w:lang w:val="en-US" w:eastAsia="zh-CN" w:bidi="ar"/>
              </w:rPr>
            </w:pPr>
            <w:r>
              <w:rPr>
                <w:rFonts w:hint="eastAsia" w:ascii="仿宋_GB2312" w:hAnsi="宋体" w:eastAsia="仿宋_GB2312" w:cs="仿宋_GB2312"/>
                <w:b w:val="0"/>
                <w:bCs w:val="0"/>
                <w:i w:val="0"/>
                <w:color w:val="000000"/>
                <w:kern w:val="0"/>
                <w:sz w:val="28"/>
                <w:szCs w:val="28"/>
                <w:u w:val="none"/>
                <w:lang w:val="en-US" w:eastAsia="zh-CN" w:bidi="ar"/>
              </w:rPr>
              <w:t>服务队伍</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专业团队：服务（含护理）团队人数达到8人（1分），持职业技术证书人员占50%以上（1分），持健康证100%（1分）；其中社会工作者（持证）1人以上（1分）；厨师（含证）2人（1分） ；护士（持证）2人以上，医生1人（可兼职）（1分）；护理员（持证）3人以上（1分）；夜间工作人员不少于3人（1分）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仿宋_GB2312" w:hAnsi="宋体" w:eastAsia="仿宋_GB2312" w:cs="仿宋_GB2312"/>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24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专业护理：照顾自理老人的养老护理员应50%以上持证上岗（1分）；照顾失能或者半失能老人的养老护理员应80%以上持证上岗（1分）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仿宋_GB2312" w:hAnsi="宋体" w:eastAsia="仿宋_GB2312" w:cs="仿宋_GB2312"/>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8" w:hRule="atLeast"/>
        </w:trPr>
        <w:tc>
          <w:tcPr>
            <w:tcW w:w="1242"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构成合理：1.至少有1名中心主任，应具有大专以上学历和中级以上专业技术职称（或中级以上养老护理员资质），无犯罪和不良信用记录（1分）</w:t>
            </w:r>
            <w:r>
              <w:rPr>
                <w:rFonts w:hint="eastAsia" w:ascii="仿宋_GB2312" w:hAnsi="宋体" w:eastAsia="仿宋_GB2312" w:cs="仿宋_GB2312"/>
                <w:b w:val="0"/>
                <w:bCs w:val="0"/>
                <w:i w:val="0"/>
                <w:color w:val="000000"/>
                <w:kern w:val="0"/>
                <w:sz w:val="28"/>
                <w:szCs w:val="28"/>
                <w:u w:val="none"/>
                <w:lang w:val="en-US" w:eastAsia="zh-CN" w:bidi="ar"/>
              </w:rPr>
              <w:br w:type="textWrapping"/>
            </w:r>
            <w:r>
              <w:rPr>
                <w:rFonts w:hint="eastAsia" w:ascii="仿宋_GB2312" w:hAnsi="宋体" w:eastAsia="仿宋_GB2312" w:cs="仿宋_GB2312"/>
                <w:b w:val="0"/>
                <w:bCs w:val="0"/>
                <w:i w:val="0"/>
                <w:color w:val="000000"/>
                <w:kern w:val="0"/>
                <w:sz w:val="28"/>
                <w:szCs w:val="28"/>
                <w:u w:val="none"/>
                <w:lang w:val="en-US" w:eastAsia="zh-CN" w:bidi="ar"/>
              </w:rPr>
              <w:t>2.至少有1名业务部门主管（可兼职），应具有中专以上学历和养老相关专业技术职称（或养老护理员资质）（1分）</w:t>
            </w:r>
            <w:r>
              <w:rPr>
                <w:rFonts w:hint="eastAsia" w:ascii="仿宋_GB2312" w:hAnsi="宋体" w:eastAsia="仿宋_GB2312" w:cs="仿宋_GB2312"/>
                <w:b w:val="0"/>
                <w:bCs w:val="0"/>
                <w:i w:val="0"/>
                <w:color w:val="000000"/>
                <w:kern w:val="0"/>
                <w:sz w:val="28"/>
                <w:szCs w:val="28"/>
                <w:u w:val="none"/>
                <w:lang w:val="en-US" w:eastAsia="zh-CN" w:bidi="ar"/>
              </w:rPr>
              <w:br w:type="textWrapping"/>
            </w:r>
            <w:r>
              <w:rPr>
                <w:rFonts w:hint="eastAsia" w:ascii="仿宋_GB2312" w:hAnsi="宋体" w:eastAsia="仿宋_GB2312" w:cs="仿宋_GB2312"/>
                <w:b w:val="0"/>
                <w:bCs w:val="0"/>
                <w:i w:val="0"/>
                <w:color w:val="000000"/>
                <w:kern w:val="0"/>
                <w:sz w:val="28"/>
                <w:szCs w:val="28"/>
                <w:u w:val="none"/>
                <w:lang w:val="en-US" w:eastAsia="zh-CN" w:bidi="ar"/>
              </w:rPr>
              <w:t>3.至少有1名财务人员（可兼职），应具有财务相关专业技术职称（1分）</w:t>
            </w:r>
            <w:r>
              <w:rPr>
                <w:rFonts w:hint="eastAsia" w:ascii="仿宋_GB2312" w:hAnsi="宋体" w:eastAsia="仿宋_GB2312" w:cs="仿宋_GB2312"/>
                <w:b w:val="0"/>
                <w:bCs w:val="0"/>
                <w:i w:val="0"/>
                <w:color w:val="000000"/>
                <w:kern w:val="0"/>
                <w:sz w:val="28"/>
                <w:szCs w:val="28"/>
                <w:u w:val="none"/>
                <w:lang w:val="en-US" w:eastAsia="zh-CN" w:bidi="ar"/>
              </w:rPr>
              <w:br w:type="textWrapping"/>
            </w:r>
            <w:r>
              <w:rPr>
                <w:rFonts w:hint="eastAsia" w:ascii="仿宋_GB2312" w:hAnsi="宋体" w:eastAsia="仿宋_GB2312" w:cs="仿宋_GB2312"/>
                <w:b w:val="0"/>
                <w:bCs w:val="0"/>
                <w:i w:val="0"/>
                <w:color w:val="000000"/>
                <w:kern w:val="0"/>
                <w:sz w:val="28"/>
                <w:szCs w:val="28"/>
                <w:u w:val="none"/>
                <w:lang w:val="en-US" w:eastAsia="zh-CN" w:bidi="ar"/>
              </w:rPr>
              <w:t>4.养老护理员与自理人比例为1:8-10；养老护理员与半失能老人比例为1:4-6；养老护理员与失能老人比例为1:1-3（1分）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仿宋_GB2312" w:hAnsi="宋体" w:eastAsia="仿宋_GB2312" w:cs="仿宋_GB2312"/>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242"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仪容仪表：养老护理员符合职业仪容仪表要求，其他服务人员穿工作服且与岗位功能协调，服装干净整洁（1分）；微笑服务，语言文明（1分）</w:t>
            </w:r>
          </w:p>
        </w:tc>
        <w:tc>
          <w:tcPr>
            <w:tcW w:w="111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242"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0334"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培训学习：管理人员每年接受养老管理培训，有记录（1分）；机构内每年开展职业道德、行业规范、技术培训等，有记录（1分）；</w:t>
            </w:r>
          </w:p>
        </w:tc>
        <w:tc>
          <w:tcPr>
            <w:tcW w:w="111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42"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_GB2312" w:hAnsi="宋体" w:eastAsia="仿宋_GB2312" w:cs="仿宋_GB2312"/>
                <w:b w:val="0"/>
                <w:bCs w:val="0"/>
                <w:i w:val="0"/>
                <w:color w:val="000000"/>
                <w:sz w:val="28"/>
                <w:szCs w:val="28"/>
                <w:u w:val="none"/>
              </w:rPr>
            </w:pPr>
          </w:p>
        </w:tc>
        <w:tc>
          <w:tcPr>
            <w:tcW w:w="120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收费标准</w:t>
            </w:r>
          </w:p>
        </w:tc>
        <w:tc>
          <w:tcPr>
            <w:tcW w:w="1033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将服务项目、内容、标准及要求对外公示，明确各种服务收费标准（3分）</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 xml:space="preserve">考核情况 </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额外扣分项</w:t>
            </w:r>
          </w:p>
        </w:tc>
        <w:tc>
          <w:tcPr>
            <w:tcW w:w="10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暗访抽查考评不合格的，1次通报扣10分。</w:t>
            </w:r>
          </w:p>
        </w:tc>
        <w:tc>
          <w:tcPr>
            <w:tcW w:w="111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b w:val="0"/>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138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Style w:val="9"/>
                <w:rFonts w:hAnsi="宋体"/>
                <w:b w:val="0"/>
                <w:bCs w:val="0"/>
                <w:color w:val="000000"/>
                <w:lang w:val="en-US" w:eastAsia="zh-CN" w:bidi="ar"/>
              </w:rPr>
              <w:t>评估对象：</w:t>
            </w:r>
            <w:r>
              <w:rPr>
                <w:rFonts w:hint="eastAsia" w:ascii="仿宋_GB2312" w:hAnsi="宋体" w:eastAsia="仿宋_GB2312" w:cs="仿宋_GB2312"/>
                <w:b w:val="0"/>
                <w:bCs w:val="0"/>
                <w:i w:val="0"/>
                <w:color w:val="000000"/>
                <w:kern w:val="0"/>
                <w:sz w:val="28"/>
                <w:szCs w:val="28"/>
                <w:u w:val="single"/>
                <w:lang w:val="en-US" w:eastAsia="zh-CN" w:bidi="ar"/>
              </w:rPr>
              <w:t xml:space="preserve">                           </w:t>
            </w:r>
            <w:r>
              <w:rPr>
                <w:rStyle w:val="9"/>
                <w:rFonts w:hAnsi="宋体"/>
                <w:b w:val="0"/>
                <w:bCs w:val="0"/>
                <w:color w:val="000000"/>
                <w:lang w:val="en-US" w:eastAsia="zh-CN" w:bidi="ar"/>
              </w:rPr>
              <w:t xml:space="preserve">     总扣分：</w:t>
            </w:r>
            <w:r>
              <w:rPr>
                <w:rFonts w:hint="eastAsia" w:ascii="仿宋_GB2312" w:hAnsi="宋体" w:eastAsia="仿宋_GB2312" w:cs="仿宋_GB2312"/>
                <w:b w:val="0"/>
                <w:bCs w:val="0"/>
                <w:i w:val="0"/>
                <w:color w:val="000000"/>
                <w:kern w:val="0"/>
                <w:sz w:val="28"/>
                <w:szCs w:val="28"/>
                <w:u w:val="single"/>
                <w:lang w:val="en-US" w:eastAsia="zh-CN" w:bidi="ar"/>
              </w:rPr>
              <w:t xml:space="preserve">            </w:t>
            </w:r>
            <w:r>
              <w:rPr>
                <w:rStyle w:val="9"/>
                <w:rFonts w:hAnsi="宋体"/>
                <w:b w:val="0"/>
                <w:bCs w:val="0"/>
                <w:color w:val="000000"/>
                <w:lang w:val="en-US" w:eastAsia="zh-CN" w:bidi="ar"/>
              </w:rPr>
              <w:t xml:space="preserve">         得分：</w:t>
            </w:r>
            <w:r>
              <w:rPr>
                <w:rFonts w:hint="eastAsia" w:ascii="仿宋_GB2312" w:hAnsi="宋体" w:eastAsia="仿宋_GB2312" w:cs="仿宋_GB2312"/>
                <w:b w:val="0"/>
                <w:bCs w:val="0"/>
                <w:i w:val="0"/>
                <w:color w:val="000000"/>
                <w:kern w:val="0"/>
                <w:sz w:val="28"/>
                <w:szCs w:val="28"/>
                <w:u w:val="single"/>
                <w:lang w:val="en-US" w:eastAsia="zh-CN" w:bidi="ar"/>
              </w:rPr>
              <w:t xml:space="preserve">          </w:t>
            </w:r>
            <w:r>
              <w:rPr>
                <w:rStyle w:val="9"/>
                <w:rFonts w:hAnsi="宋体"/>
                <w:b w:val="0"/>
                <w:bCs w:val="0"/>
                <w:color w:val="000000"/>
                <w:lang w:val="en-US" w:eastAsia="zh-CN" w:bidi="ar"/>
              </w:rPr>
              <w:t xml:space="preserve">                                    考评人：</w:t>
            </w:r>
            <w:r>
              <w:rPr>
                <w:rFonts w:hint="eastAsia" w:ascii="仿宋_GB2312" w:hAnsi="宋体" w:eastAsia="仿宋_GB2312" w:cs="仿宋_GB2312"/>
                <w:b w:val="0"/>
                <w:bCs w:val="0"/>
                <w:i w:val="0"/>
                <w:color w:val="000000"/>
                <w:kern w:val="0"/>
                <w:sz w:val="28"/>
                <w:szCs w:val="28"/>
                <w:u w:val="single"/>
                <w:lang w:val="en-US" w:eastAsia="zh-CN" w:bidi="ar"/>
              </w:rPr>
              <w:t xml:space="preserve">                     </w:t>
            </w:r>
            <w:r>
              <w:rPr>
                <w:rStyle w:val="9"/>
                <w:rFonts w:hAnsi="宋体"/>
                <w:b w:val="0"/>
                <w:bCs w:val="0"/>
                <w:color w:val="000000"/>
                <w:lang w:val="en-US" w:eastAsia="zh-CN" w:bidi="ar"/>
              </w:rPr>
              <w:t xml:space="preserve">             考评时间:</w:t>
            </w:r>
            <w:r>
              <w:rPr>
                <w:rFonts w:hint="eastAsia" w:ascii="仿宋_GB2312" w:hAnsi="宋体" w:eastAsia="仿宋_GB2312" w:cs="仿宋_GB2312"/>
                <w:b w:val="0"/>
                <w:bCs w:val="0"/>
                <w:i w:val="0"/>
                <w:color w:val="000000"/>
                <w:kern w:val="0"/>
                <w:sz w:val="28"/>
                <w:szCs w:val="28"/>
                <w:u w:val="single"/>
                <w:lang w:val="en-US" w:eastAsia="zh-CN" w:bidi="ar"/>
              </w:rPr>
              <w:t xml:space="preserve">             </w:t>
            </w:r>
            <w:r>
              <w:rPr>
                <w:rStyle w:val="9"/>
                <w:rFonts w:hAnsi="宋体"/>
                <w:b w:val="0"/>
                <w:bCs w:val="0"/>
                <w:color w:val="00000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89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000000"/>
                <w:kern w:val="0"/>
                <w:sz w:val="28"/>
                <w:szCs w:val="28"/>
                <w:u w:val="none"/>
                <w:lang w:val="en-US" w:eastAsia="zh-CN" w:bidi="ar"/>
              </w:rPr>
              <w:t>备注：90分(含90分)以上为优秀、80(含80)-89分为良好、70(含70)-79分为合格、60分以下为不合格</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val="en-US" w:eastAsia="zh-CN"/>
        </w:rPr>
      </w:pPr>
      <w:bookmarkStart w:id="0" w:name="_GoBack"/>
      <w:bookmarkEnd w:id="0"/>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eastAsia="zh-CN"/>
        </w:rPr>
      </w:pPr>
      <w:r>
        <w:rPr>
          <w:rFonts w:hint="eastAsia" w:ascii="方正小标宋简体" w:hAnsi="方正小标宋简体" w:eastAsia="方正小标宋简体" w:cs="方正小标宋简体"/>
          <w:b w:val="0"/>
          <w:bCs w:val="0"/>
          <w:i w:val="0"/>
          <w:color w:val="000000"/>
          <w:kern w:val="0"/>
          <w:sz w:val="40"/>
          <w:szCs w:val="40"/>
          <w:u w:val="none"/>
          <w:lang w:val="en-US" w:eastAsia="zh-CN" w:bidi="ar"/>
        </w:rPr>
        <w:t>鼓楼区养老工作绩效考核指标表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6"/>
        <w:gridCol w:w="1726"/>
        <w:gridCol w:w="4562"/>
        <w:gridCol w:w="979"/>
        <w:gridCol w:w="995"/>
        <w:gridCol w:w="4072"/>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指标名称</w:t>
            </w: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指标内容</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2"/>
                <w:szCs w:val="22"/>
                <w:u w:val="none"/>
                <w:lang w:val="en-US" w:eastAsia="zh-CN" w:bidi="ar"/>
              </w:rPr>
            </w:pPr>
            <w:r>
              <w:rPr>
                <w:rFonts w:hint="eastAsia" w:ascii="黑体" w:hAnsi="黑体" w:eastAsia="黑体" w:cs="黑体"/>
                <w:b w:val="0"/>
                <w:bCs w:val="0"/>
                <w:i w:val="0"/>
                <w:color w:val="000000"/>
                <w:kern w:val="0"/>
                <w:sz w:val="22"/>
                <w:szCs w:val="22"/>
                <w:u w:val="none"/>
                <w:lang w:val="en-US" w:eastAsia="zh-CN" w:bidi="ar"/>
              </w:rPr>
              <w:t>分值                （总分</w:t>
            </w:r>
          </w:p>
          <w:p>
            <w:pPr>
              <w:keepNext w:val="0"/>
              <w:keepLines w:val="0"/>
              <w:widowControl/>
              <w:suppressLineNumbers w:val="0"/>
              <w:jc w:val="center"/>
              <w:textAlignment w:val="center"/>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100分）</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color w:val="000000"/>
              </w:rPr>
            </w:pPr>
            <w:r>
              <w:rPr>
                <w:rFonts w:hint="eastAsia" w:ascii="黑体" w:hAnsi="黑体" w:eastAsia="黑体" w:cs="黑体"/>
                <w:b w:val="0"/>
                <w:bCs w:val="0"/>
                <w:i w:val="0"/>
                <w:color w:val="000000"/>
                <w:kern w:val="0"/>
                <w:sz w:val="22"/>
                <w:szCs w:val="22"/>
                <w:u w:val="none"/>
                <w:lang w:val="en-US" w:eastAsia="zh-CN" w:bidi="ar"/>
              </w:rPr>
              <w:t>责任单位</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评分标准</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2"/>
                <w:szCs w:val="22"/>
                <w:u w:val="none"/>
                <w:lang w:val="en-US" w:eastAsia="zh-CN" w:bidi="ar"/>
              </w:rPr>
            </w:pPr>
            <w:r>
              <w:rPr>
                <w:rFonts w:hint="eastAsia" w:ascii="黑体" w:hAnsi="黑体" w:eastAsia="黑体" w:cs="黑体"/>
                <w:b w:val="0"/>
                <w:bCs w:val="0"/>
                <w:i w:val="0"/>
                <w:color w:val="000000"/>
                <w:kern w:val="0"/>
                <w:sz w:val="22"/>
                <w:szCs w:val="22"/>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w:t>
            </w:r>
          </w:p>
        </w:tc>
        <w:tc>
          <w:tcPr>
            <w:tcW w:w="1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街镇养老照料中心招投标完成情况（15分）</w:t>
            </w: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（1）完成时限。2020年7月31日前合同到期的应于7月底前完成新一轮招投标并签订合同开展服务。2020年8月及之后合同到期的应于到期前完成新一轮招投标并签订合同。</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（1）于规定时间内完成，得10分；                 （2）逾期一个月以内完成，扣5分；                                （3）逾期一个月以上完成，不得分。</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按指标内容要求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2</w:t>
            </w:r>
          </w:p>
        </w:tc>
        <w:tc>
          <w:tcPr>
            <w:tcW w:w="1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2"/>
                <w:szCs w:val="22"/>
                <w:u w:val="none"/>
              </w:rPr>
            </w:pP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（2）落实1+N模式。招投标内容要求按照1+N模式，且将该内容写入协议，落实到位。</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（1）招投标有按要求进行且写入协议落实到位的，得5分；                                      （2)未按要求进行招投标或未写入协议落实到位的，不得分。</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街镇对照料中心属地监管责任落实情况（20分）</w:t>
            </w: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街镇对属地照料中心常态化监管、安全、卫生、服务的质与量等方面，日常监督指导责任落实到位，有定期督导。</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对其中一项有开展定期督导的得5分，共20分</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街镇养老照料中心与社区居家养老服务站联动活动情况（10分）</w:t>
            </w: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街镇养老照料中心和社区居家为老服务站按照1+N模式要有联动机制，有助老员每月双向评议机制，有开展活动记录（每月4次以上）</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（1）1+N模式有联动机制的，得3分；             （2）助老员每月有开展双向评议的，得3分；</w:t>
            </w:r>
          </w:p>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 xml:space="preserve">（3）开展活动每月4次以上的，得4分；           </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5</w:t>
            </w:r>
          </w:p>
        </w:tc>
        <w:tc>
          <w:tcPr>
            <w:tcW w:w="1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政府购买居家养老电子服务卡执行情况（45分）</w:t>
            </w: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申请覆盖率=全年累计申请电子服务卡老人数/当年度80周岁以上户籍老人数*100%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覆盖率65%（含）以上，得15分；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覆盖率65%（含）-60%，扣5分；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 xml:space="preserve">覆盖率50%（含）-60%，扣10分；       </w:t>
            </w:r>
          </w:p>
          <w:p>
            <w:pPr>
              <w:keepNext w:val="0"/>
              <w:keepLines w:val="0"/>
              <w:widowControl/>
              <w:numPr>
                <w:ilvl w:val="0"/>
                <w:numId w:val="2"/>
              </w:numPr>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覆盖率低于50%，不得分</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2"/>
                <w:szCs w:val="22"/>
                <w:u w:val="none"/>
              </w:rPr>
            </w:pPr>
          </w:p>
        </w:tc>
        <w:tc>
          <w:tcPr>
            <w:tcW w:w="1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val="0"/>
                <w:bCs w:val="0"/>
                <w:i w:val="0"/>
                <w:color w:val="000000"/>
                <w:sz w:val="22"/>
                <w:szCs w:val="22"/>
                <w:u w:val="none"/>
              </w:rPr>
            </w:pP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服务卡使用率=全年服务卡使用金额/全年服务卡发放金额*100%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使用率90%（含）以上，得15分；      </w:t>
            </w:r>
          </w:p>
          <w:p>
            <w:pPr>
              <w:keepNext w:val="0"/>
              <w:keepLines w:val="0"/>
              <w:widowControl/>
              <w:numPr>
                <w:ilvl w:val="0"/>
                <w:numId w:val="3"/>
              </w:numPr>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使用率80%（含）-90%，扣5分；               （3）使用率70%（含）-80%，扣10分；             （4）使用率低于70%，不得分</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2"/>
                <w:szCs w:val="22"/>
                <w:u w:val="none"/>
              </w:rPr>
            </w:pPr>
          </w:p>
        </w:tc>
        <w:tc>
          <w:tcPr>
            <w:tcW w:w="1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val="0"/>
                <w:bCs w:val="0"/>
                <w:i w:val="0"/>
                <w:color w:val="000000"/>
                <w:sz w:val="22"/>
                <w:szCs w:val="22"/>
                <w:u w:val="none"/>
              </w:rPr>
            </w:pP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老人不满意率=回访表示对服务不满意老人总数/回访老人总数*100%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（1）不满意率小于10%（含），得15分；                    （2）不满意率10%-15%（含），扣5分；                   （3）不满意率15%-20%（含），扣10分；                  （4）不满意率大于20%，不得分</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0"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养老服务信息平台老人数据更新情况（10分）</w:t>
            </w: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建立健全60周岁以上老年人电子信息平台数据，不定期巡防并主动发现、及时更新辖区老年人基本情况，对象包括：政府购买服务对象、60周岁以上、百岁，失能、半失能、孤寡、失独、独居、空巢、低保、重点优抚、重残、与重残子女同住老人信息。</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每月对各街镇60周岁以上老人数据更新情况进行排名，排1-3名的街道得10分，排4-7名的街道得5分，排8-10名的街道不得分。其他特殊困难老人数据更新情况可在以上排名得分基础上酌情加减。</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8</w:t>
            </w:r>
          </w:p>
        </w:tc>
        <w:tc>
          <w:tcPr>
            <w:tcW w:w="1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减分项</w:t>
            </w: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辖区内照料中心或居家养老服务站有发生重大责任安全事故、卫生安全事故等，造成严重不良影响的</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不纳入100分基础评分，考核年度内每发生一次扣20分，扣完为止。</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2"/>
                <w:szCs w:val="22"/>
                <w:u w:val="none"/>
              </w:rPr>
            </w:pPr>
          </w:p>
        </w:tc>
        <w:tc>
          <w:tcPr>
            <w:tcW w:w="1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2"/>
                <w:szCs w:val="22"/>
                <w:u w:val="none"/>
              </w:rPr>
            </w:pPr>
          </w:p>
        </w:tc>
        <w:tc>
          <w:tcPr>
            <w:tcW w:w="4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主动发现并及时做好老人户籍变动和死亡信息更新，发现非鼓楼户籍或死亡后存在老人申请、发放、消费服务卡内金额情况的</w:t>
            </w: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2"/>
                <w:szCs w:val="22"/>
                <w:u w:val="none"/>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rPr>
            </w:pPr>
            <w:r>
              <w:rPr>
                <w:rFonts w:hint="eastAsia" w:ascii="仿宋_GB2312" w:hAnsi="仿宋_GB2312" w:eastAsia="仿宋_GB2312" w:cs="仿宋_GB2312"/>
                <w:b w:val="0"/>
                <w:bCs w:val="0"/>
                <w:i w:val="0"/>
                <w:color w:val="000000"/>
                <w:kern w:val="0"/>
                <w:sz w:val="22"/>
                <w:szCs w:val="22"/>
                <w:u w:val="none"/>
                <w:lang w:val="en-US" w:eastAsia="zh-CN" w:bidi="ar"/>
              </w:rPr>
              <w:t>十街镇</w:t>
            </w:r>
          </w:p>
        </w:tc>
        <w:tc>
          <w:tcPr>
            <w:tcW w:w="4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不纳入100分基础评分，发现一例扣1分，扣完为止。</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olor w:val="000000"/>
          <w:kern w:val="0"/>
          <w:sz w:val="40"/>
          <w:szCs w:val="40"/>
          <w:u w:val="none"/>
          <w:lang w:val="en-US" w:eastAsia="zh-CN" w:bidi="ar"/>
        </w:rPr>
      </w:pPr>
      <w:r>
        <w:rPr>
          <w:rFonts w:hint="eastAsia" w:ascii="方正小标宋简体" w:hAnsi="方正小标宋简体" w:eastAsia="方正小标宋简体" w:cs="方正小标宋简体"/>
          <w:b w:val="0"/>
          <w:bCs w:val="0"/>
          <w:i w:val="0"/>
          <w:color w:val="000000"/>
          <w:kern w:val="0"/>
          <w:sz w:val="40"/>
          <w:szCs w:val="40"/>
          <w:u w:val="none"/>
          <w:lang w:val="en-US" w:eastAsia="zh-CN" w:bidi="ar"/>
        </w:rPr>
        <w:t>鼓楼区争当排头兵之“长者食堂”项目考评指标表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hAnsi="楷体_GB2312" w:eastAsia="楷体_GB2312" w:cs="楷体_GB2312"/>
          <w:b w:val="0"/>
          <w:bCs w:val="0"/>
          <w:i w:val="0"/>
          <w:color w:val="000000"/>
          <w:kern w:val="0"/>
          <w:sz w:val="32"/>
          <w:szCs w:val="32"/>
          <w:u w:val="none"/>
          <w:lang w:val="en-US" w:eastAsia="zh-CN" w:bidi="ar"/>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1"/>
        <w:gridCol w:w="1822"/>
        <w:gridCol w:w="2824"/>
        <w:gridCol w:w="4709"/>
        <w:gridCol w:w="1012"/>
        <w:gridCol w:w="1700"/>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赛道名称</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子项目</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指标要求</w:t>
            </w:r>
          </w:p>
        </w:tc>
        <w:tc>
          <w:tcPr>
            <w:tcW w:w="4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内容清单</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责任单位</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bidi="ar"/>
              </w:rPr>
              <w:t>评分标准</w:t>
            </w:r>
            <w:r>
              <w:rPr>
                <w:rFonts w:hint="eastAsia" w:ascii="黑体" w:hAnsi="黑体" w:eastAsia="黑体" w:cs="黑体"/>
                <w:b w:val="0"/>
                <w:bCs w:val="0"/>
                <w:i w:val="0"/>
                <w:color w:val="000000"/>
                <w:kern w:val="0"/>
                <w:sz w:val="24"/>
                <w:szCs w:val="24"/>
                <w:u w:val="none"/>
                <w:lang w:val="en-US" w:eastAsia="zh-CN" w:bidi="ar"/>
              </w:rPr>
              <w:br w:type="textWrapping"/>
            </w:r>
            <w:r>
              <w:rPr>
                <w:rFonts w:hint="eastAsia" w:ascii="黑体" w:hAnsi="黑体" w:eastAsia="黑体" w:cs="黑体"/>
                <w:b w:val="0"/>
                <w:bCs w:val="0"/>
                <w:i w:val="0"/>
                <w:color w:val="000000"/>
                <w:kern w:val="0"/>
                <w:sz w:val="24"/>
                <w:szCs w:val="24"/>
                <w:u w:val="none"/>
                <w:lang w:val="en-US" w:eastAsia="zh-CN" w:bidi="ar"/>
              </w:rPr>
              <w:t>（总分100分）</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trPr>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长者食堂</w:t>
            </w:r>
          </w:p>
        </w:tc>
        <w:tc>
          <w:tcPr>
            <w:tcW w:w="18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一、开办情况</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建有厨房和餐厅，供餐能力每日80人以上（含堂食和外卖），就餐座位30个以上，可提供配送服务。</w:t>
            </w:r>
          </w:p>
        </w:tc>
        <w:tc>
          <w:tcPr>
            <w:tcW w:w="4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供餐能力每日80人以上，就餐座位30个以上，可提供配送服务的，得60分，未达此标准的按比例扣分。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十街镇</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60分</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2020年7月31日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8"/>
                <w:szCs w:val="28"/>
                <w:u w:val="none"/>
              </w:rPr>
            </w:pPr>
          </w:p>
        </w:tc>
        <w:tc>
          <w:tcPr>
            <w:tcW w:w="18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二、供餐情况</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长者食堂供餐人数超额完成情况</w:t>
            </w:r>
          </w:p>
        </w:tc>
        <w:tc>
          <w:tcPr>
            <w:tcW w:w="4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日均供餐人数要求至少达80人，超出30%得5分，超出30%-50%得10分，超出50%以上得15分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十街镇</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15分</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8"/>
                <w:szCs w:val="28"/>
                <w:u w:val="none"/>
              </w:rPr>
            </w:pPr>
          </w:p>
        </w:tc>
        <w:tc>
          <w:tcPr>
            <w:tcW w:w="18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三、群众满意率</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随机抽取回访群众，重点对满意率进行测评</w:t>
            </w:r>
          </w:p>
        </w:tc>
        <w:tc>
          <w:tcPr>
            <w:tcW w:w="4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满意率达90%以上得15分，80%-89%得10分，70-79%得5分，低于70%不得分</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十街镇</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15分</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8"/>
                <w:szCs w:val="28"/>
                <w:u w:val="none"/>
              </w:rPr>
            </w:pPr>
          </w:p>
        </w:tc>
        <w:tc>
          <w:tcPr>
            <w:tcW w:w="18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四、餐标</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为鼓楼户籍老人提供10元优惠套餐。</w:t>
            </w:r>
          </w:p>
        </w:tc>
        <w:tc>
          <w:tcPr>
            <w:tcW w:w="4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为鼓楼户籍老人提供一荤两素一汤一饭”套餐，餐标10元。</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十街镇</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必要项，否则总分为0.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0" w:hRule="atLeast"/>
        </w:trPr>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8"/>
                <w:szCs w:val="28"/>
                <w:u w:val="none"/>
              </w:rPr>
            </w:pPr>
          </w:p>
        </w:tc>
        <w:tc>
          <w:tcPr>
            <w:tcW w:w="182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五、增值内容</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对接成功的辖区餐饮企业、服务开展有规模、有特色。</w:t>
            </w:r>
          </w:p>
        </w:tc>
        <w:tc>
          <w:tcPr>
            <w:tcW w:w="4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开办食堂具备一定特色，可不局限于以下三项：1）对接并成功开办的企业为大型餐饮企业的；2）在政府定价的标准上提供更优惠的套餐标准的；3）长者有使用小程序或app进行预订服务的。</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十街镇</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10分（每符合一项得5分，上限10分）</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i w:val="0"/>
                <w:color w:val="000000"/>
                <w:sz w:val="28"/>
                <w:szCs w:val="28"/>
                <w:u w:val="none"/>
              </w:rPr>
            </w:pPr>
          </w:p>
        </w:tc>
        <w:tc>
          <w:tcPr>
            <w:tcW w:w="1822" w:type="dxa"/>
            <w:tcBorders>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28"/>
                <w:szCs w:val="28"/>
                <w:u w:val="none"/>
              </w:rPr>
            </w:pPr>
            <w:r>
              <w:rPr>
                <w:rFonts w:hint="eastAsia" w:ascii="仿宋_GB2312" w:hAnsi="仿宋_GB2312" w:eastAsia="仿宋_GB2312" w:cs="仿宋_GB2312"/>
                <w:b w:val="0"/>
                <w:bCs w:val="0"/>
                <w:i w:val="0"/>
                <w:color w:val="000000"/>
                <w:kern w:val="0"/>
                <w:sz w:val="28"/>
                <w:szCs w:val="28"/>
                <w:u w:val="none"/>
                <w:lang w:val="en-US" w:eastAsia="zh-CN" w:bidi="ar"/>
              </w:rPr>
              <w:t>六、减分项</w:t>
            </w:r>
          </w:p>
        </w:tc>
        <w:tc>
          <w:tcPr>
            <w:tcW w:w="2824"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有发生重大食品安全责任事故的</w:t>
            </w:r>
          </w:p>
        </w:tc>
        <w:tc>
          <w:tcPr>
            <w:tcW w:w="4709"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长者食堂有发生重大食品安全责任事故，造成不良影响。</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十街镇</w:t>
            </w:r>
          </w:p>
        </w:tc>
        <w:tc>
          <w:tcPr>
            <w:tcW w:w="17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sz w:val="22"/>
                <w:szCs w:val="22"/>
                <w:u w:val="none"/>
              </w:rPr>
            </w:pPr>
            <w:r>
              <w:rPr>
                <w:rFonts w:hint="eastAsia" w:ascii="仿宋_GB2312" w:hAnsi="仿宋_GB2312" w:eastAsia="仿宋_GB2312" w:cs="仿宋_GB2312"/>
                <w:b w:val="0"/>
                <w:bCs w:val="0"/>
                <w:i w:val="0"/>
                <w:color w:val="000000"/>
                <w:kern w:val="0"/>
                <w:sz w:val="22"/>
                <w:szCs w:val="22"/>
                <w:u w:val="none"/>
                <w:lang w:val="en-US" w:eastAsia="zh-CN" w:bidi="ar"/>
              </w:rPr>
              <w:t>不纳入100分基础评分，考核年度内每发生一次扣20分，扣完为止。</w:t>
            </w:r>
          </w:p>
        </w:tc>
        <w:tc>
          <w:tcPr>
            <w:tcW w:w="136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全年</w:t>
            </w:r>
          </w:p>
        </w:tc>
      </w:tr>
    </w:tbl>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2ADB4"/>
    <w:multiLevelType w:val="singleLevel"/>
    <w:tmpl w:val="5902ADB4"/>
    <w:lvl w:ilvl="0" w:tentative="0">
      <w:start w:val="1"/>
      <w:numFmt w:val="decimal"/>
      <w:suff w:val="nothing"/>
      <w:lvlText w:val="%1."/>
      <w:lvlJc w:val="left"/>
    </w:lvl>
  </w:abstractNum>
  <w:abstractNum w:abstractNumId="1">
    <w:nsid w:val="5ED5A30B"/>
    <w:multiLevelType w:val="singleLevel"/>
    <w:tmpl w:val="5ED5A30B"/>
    <w:lvl w:ilvl="0" w:tentative="0">
      <w:start w:val="1"/>
      <w:numFmt w:val="decimal"/>
      <w:suff w:val="nothing"/>
      <w:lvlText w:val="（%1）"/>
      <w:lvlJc w:val="left"/>
    </w:lvl>
  </w:abstractNum>
  <w:abstractNum w:abstractNumId="2">
    <w:nsid w:val="5ED5A333"/>
    <w:multiLevelType w:val="singleLevel"/>
    <w:tmpl w:val="5ED5A33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val="1"/>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0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Normal (Web)"/>
    <w:basedOn w:val="1"/>
    <w:qFormat/>
    <w:uiPriority w:val="0"/>
    <w:pPr>
      <w:widowControl/>
      <w:jc w:val="left"/>
    </w:pPr>
    <w:rPr>
      <w:rFonts w:ascii="宋体" w:hAnsi="宋体" w:cs="宋体"/>
      <w:kern w:val="0"/>
      <w:sz w:val="24"/>
    </w:rPr>
  </w:style>
  <w:style w:type="character" w:customStyle="1" w:styleId="6">
    <w:name w:val="font31"/>
    <w:basedOn w:val="5"/>
    <w:qFormat/>
    <w:uiPriority w:val="0"/>
    <w:rPr>
      <w:rFonts w:hint="eastAsia" w:ascii="仿宋_GB2312" w:eastAsia="仿宋_GB2312" w:cs="仿宋_GB2312"/>
      <w:color w:val="000000"/>
      <w:sz w:val="28"/>
      <w:szCs w:val="28"/>
      <w:u w:val="none"/>
    </w:rPr>
  </w:style>
  <w:style w:type="character" w:customStyle="1" w:styleId="7">
    <w:name w:val="font21"/>
    <w:basedOn w:val="5"/>
    <w:qFormat/>
    <w:uiPriority w:val="0"/>
    <w:rPr>
      <w:rFonts w:ascii="宋体" w:hAnsi="宋体" w:eastAsia="宋体" w:cs="宋体"/>
      <w:color w:val="000000"/>
      <w:sz w:val="28"/>
      <w:szCs w:val="28"/>
      <w:u w:val="none"/>
    </w:rPr>
  </w:style>
  <w:style w:type="character" w:customStyle="1" w:styleId="8">
    <w:name w:val="font11"/>
    <w:basedOn w:val="5"/>
    <w:qFormat/>
    <w:uiPriority w:val="0"/>
    <w:rPr>
      <w:rFonts w:hint="eastAsia" w:ascii="宋体" w:hAnsi="宋体" w:eastAsia="宋体" w:cs="宋体"/>
      <w:color w:val="000000"/>
      <w:sz w:val="28"/>
      <w:szCs w:val="28"/>
      <w:u w:val="none"/>
    </w:rPr>
  </w:style>
  <w:style w:type="character" w:customStyle="1" w:styleId="9">
    <w:name w:val="font4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zhgl2</dc:creator>
  <cp:lastModifiedBy>zhgl2</cp:lastModifiedBy>
  <dcterms:modified xsi:type="dcterms:W3CDTF">2020-06-18T01:38:58Z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